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7992"/>
      </w:tblGrid>
      <w:tr w:rsidR="00045282" w:rsidRPr="00321DB1" w:rsidTr="00045282">
        <w:tc>
          <w:tcPr>
            <w:tcW w:w="6048" w:type="dxa"/>
            <w:vAlign w:val="center"/>
          </w:tcPr>
          <w:p w:rsidR="00045282" w:rsidRPr="00321DB1" w:rsidRDefault="00045282" w:rsidP="008F0743">
            <w:pPr>
              <w:tabs>
                <w:tab w:val="left" w:pos="4920"/>
              </w:tabs>
              <w:spacing w:after="120"/>
              <w:jc w:val="center"/>
              <w:rPr>
                <w:rFonts w:ascii="Arial" w:hAnsi="Arial" w:cs="Arial"/>
                <w:sz w:val="20"/>
                <w:szCs w:val="20"/>
              </w:rPr>
            </w:pPr>
            <w:r w:rsidRPr="00321DB1">
              <w:rPr>
                <w:rFonts w:ascii="Arial" w:hAnsi="Arial" w:cs="Arial"/>
                <w:b/>
                <w:sz w:val="20"/>
                <w:szCs w:val="20"/>
              </w:rPr>
              <w:t>AACSB ELIGIBILITY PROCEDURES</w:t>
            </w:r>
          </w:p>
        </w:tc>
        <w:tc>
          <w:tcPr>
            <w:tcW w:w="7992" w:type="dxa"/>
          </w:tcPr>
          <w:p w:rsidR="00045282" w:rsidRPr="00321DB1" w:rsidRDefault="00045282" w:rsidP="008F0743">
            <w:pPr>
              <w:tabs>
                <w:tab w:val="left" w:pos="4920"/>
              </w:tabs>
              <w:spacing w:after="120"/>
              <w:jc w:val="center"/>
              <w:rPr>
                <w:rFonts w:ascii="Arial" w:hAnsi="Arial" w:cs="Arial"/>
                <w:b/>
                <w:sz w:val="20"/>
                <w:szCs w:val="20"/>
              </w:rPr>
            </w:pPr>
            <w:r w:rsidRPr="00321DB1">
              <w:rPr>
                <w:rFonts w:ascii="Arial" w:hAnsi="Arial" w:cs="Arial"/>
                <w:b/>
                <w:sz w:val="20"/>
                <w:szCs w:val="20"/>
              </w:rPr>
              <w:t>QUESTIONS/COMMENTS</w:t>
            </w:r>
          </w:p>
        </w:tc>
      </w:tr>
      <w:tr w:rsidR="00045282" w:rsidRPr="00321DB1" w:rsidTr="008F0743">
        <w:trPr>
          <w:trHeight w:val="1052"/>
        </w:trPr>
        <w:tc>
          <w:tcPr>
            <w:tcW w:w="6048" w:type="dxa"/>
          </w:tcPr>
          <w:p w:rsidR="00321DB1" w:rsidRPr="00321DB1" w:rsidRDefault="00A7671A" w:rsidP="008F0743">
            <w:pPr>
              <w:spacing w:after="120"/>
              <w:rPr>
                <w:rFonts w:ascii="Arial" w:hAnsi="Arial" w:cs="Arial"/>
                <w:sz w:val="20"/>
                <w:szCs w:val="20"/>
              </w:rPr>
            </w:pPr>
            <w:r>
              <w:rPr>
                <w:rFonts w:ascii="Arial" w:hAnsi="Arial" w:cs="Arial"/>
                <w:sz w:val="20"/>
                <w:szCs w:val="20"/>
              </w:rPr>
              <w:t xml:space="preserve">Criterion </w:t>
            </w:r>
            <w:r w:rsidR="00045282" w:rsidRPr="00321DB1">
              <w:rPr>
                <w:rFonts w:ascii="Arial" w:hAnsi="Arial" w:cs="Arial"/>
                <w:sz w:val="20"/>
                <w:szCs w:val="20"/>
              </w:rPr>
              <w:t>A.  The school must encourage and support ethical behavior by students, faculty, administrators, and professional staff.</w:t>
            </w:r>
          </w:p>
        </w:tc>
        <w:tc>
          <w:tcPr>
            <w:tcW w:w="7992" w:type="dxa"/>
            <w:vAlign w:val="center"/>
          </w:tcPr>
          <w:p w:rsidR="00045282" w:rsidRPr="00321DB1" w:rsidRDefault="00045282" w:rsidP="008F0743">
            <w:pPr>
              <w:spacing w:after="120"/>
              <w:rPr>
                <w:rFonts w:ascii="Arial" w:hAnsi="Arial" w:cs="Arial"/>
                <w:sz w:val="20"/>
                <w:szCs w:val="20"/>
              </w:rPr>
            </w:pPr>
          </w:p>
        </w:tc>
      </w:tr>
      <w:tr w:rsidR="00045282" w:rsidRPr="00321DB1" w:rsidTr="008F0743">
        <w:trPr>
          <w:trHeight w:val="1133"/>
        </w:trPr>
        <w:tc>
          <w:tcPr>
            <w:tcW w:w="6048" w:type="dxa"/>
          </w:tcPr>
          <w:p w:rsidR="00321DB1" w:rsidRPr="00321DB1" w:rsidRDefault="00A7671A" w:rsidP="008F0743">
            <w:pPr>
              <w:spacing w:after="120"/>
              <w:rPr>
                <w:rFonts w:ascii="Arial" w:hAnsi="Arial" w:cs="Arial"/>
                <w:sz w:val="20"/>
                <w:szCs w:val="20"/>
              </w:rPr>
            </w:pPr>
            <w:r>
              <w:rPr>
                <w:rFonts w:ascii="Arial" w:hAnsi="Arial" w:cs="Arial"/>
                <w:sz w:val="20"/>
                <w:szCs w:val="20"/>
              </w:rPr>
              <w:t xml:space="preserve">Criterion </w:t>
            </w:r>
            <w:r w:rsidR="00045282" w:rsidRPr="00321DB1">
              <w:rPr>
                <w:rFonts w:ascii="Arial" w:hAnsi="Arial" w:cs="Arial"/>
                <w:sz w:val="20"/>
                <w:szCs w:val="20"/>
              </w:rPr>
              <w:t>B.  The school maintains a collegiate environment in which students, faculty, administrators, professional staff, and practitioners interact and collaborate in support of learning, scholarship, and community engagement.</w:t>
            </w:r>
          </w:p>
        </w:tc>
        <w:tc>
          <w:tcPr>
            <w:tcW w:w="7992" w:type="dxa"/>
            <w:vAlign w:val="center"/>
          </w:tcPr>
          <w:p w:rsidR="00045282" w:rsidRPr="00321DB1" w:rsidRDefault="00045282" w:rsidP="008F0743">
            <w:pPr>
              <w:spacing w:after="120"/>
              <w:rPr>
                <w:rFonts w:ascii="Arial" w:hAnsi="Arial" w:cs="Arial"/>
                <w:sz w:val="20"/>
                <w:szCs w:val="20"/>
              </w:rPr>
            </w:pPr>
          </w:p>
        </w:tc>
      </w:tr>
      <w:tr w:rsidR="00045282" w:rsidRPr="00321DB1" w:rsidTr="002E19BC">
        <w:trPr>
          <w:trHeight w:val="1440"/>
        </w:trPr>
        <w:tc>
          <w:tcPr>
            <w:tcW w:w="6048" w:type="dxa"/>
          </w:tcPr>
          <w:p w:rsidR="00321DB1" w:rsidRPr="00321DB1" w:rsidRDefault="00A7671A" w:rsidP="008F0743">
            <w:pPr>
              <w:spacing w:after="120"/>
              <w:rPr>
                <w:rFonts w:ascii="Arial" w:hAnsi="Arial" w:cs="Arial"/>
                <w:sz w:val="20"/>
                <w:szCs w:val="20"/>
              </w:rPr>
            </w:pPr>
            <w:r>
              <w:rPr>
                <w:rFonts w:ascii="Arial" w:hAnsi="Arial" w:cs="Arial"/>
                <w:sz w:val="20"/>
                <w:szCs w:val="20"/>
              </w:rPr>
              <w:t xml:space="preserve">Criterion </w:t>
            </w:r>
            <w:r w:rsidR="00045282" w:rsidRPr="00321DB1">
              <w:rPr>
                <w:rFonts w:ascii="Arial" w:hAnsi="Arial" w:cs="Arial"/>
                <w:sz w:val="20"/>
                <w:szCs w:val="20"/>
              </w:rPr>
              <w:t>C.  The school must demonstrate a commitment to address, engage, and respond to current and emerging corporate social responsibility issues (e.g., diversity, sustainable development, environmental sustainability, and globalization of economic activity across cultures) through its policies, procedures, curricula, research, and/or outreach activities.</w:t>
            </w:r>
          </w:p>
        </w:tc>
        <w:tc>
          <w:tcPr>
            <w:tcW w:w="7992" w:type="dxa"/>
            <w:vAlign w:val="center"/>
          </w:tcPr>
          <w:p w:rsidR="00045282" w:rsidRPr="00321DB1" w:rsidRDefault="00045282" w:rsidP="008F0743">
            <w:pPr>
              <w:spacing w:after="120"/>
              <w:rPr>
                <w:rFonts w:ascii="Arial" w:hAnsi="Arial" w:cs="Arial"/>
                <w:sz w:val="20"/>
                <w:szCs w:val="20"/>
              </w:rPr>
            </w:pPr>
          </w:p>
        </w:tc>
      </w:tr>
      <w:tr w:rsidR="00045282" w:rsidRPr="00321DB1" w:rsidTr="002E19BC">
        <w:trPr>
          <w:trHeight w:val="1440"/>
        </w:trPr>
        <w:tc>
          <w:tcPr>
            <w:tcW w:w="6048" w:type="dxa"/>
          </w:tcPr>
          <w:p w:rsidR="00321DB1" w:rsidRPr="00321DB1" w:rsidRDefault="00A7671A" w:rsidP="008F0743">
            <w:pPr>
              <w:spacing w:after="120"/>
              <w:rPr>
                <w:rFonts w:ascii="Arial" w:hAnsi="Arial" w:cs="Arial"/>
                <w:sz w:val="20"/>
                <w:szCs w:val="20"/>
              </w:rPr>
            </w:pPr>
            <w:r>
              <w:rPr>
                <w:rFonts w:ascii="Arial" w:hAnsi="Arial" w:cs="Arial"/>
                <w:sz w:val="20"/>
                <w:szCs w:val="20"/>
              </w:rPr>
              <w:t xml:space="preserve">Criterion </w:t>
            </w:r>
            <w:r w:rsidR="00045282" w:rsidRPr="00321DB1">
              <w:rPr>
                <w:rFonts w:ascii="Arial" w:hAnsi="Arial" w:cs="Arial"/>
                <w:sz w:val="20"/>
                <w:szCs w:val="20"/>
              </w:rPr>
              <w:t xml:space="preserve">D.  An applicant for AACSB </w:t>
            </w:r>
            <w:r w:rsidR="00DE4D20" w:rsidRPr="00321DB1">
              <w:rPr>
                <w:rFonts w:ascii="Arial" w:hAnsi="Arial" w:cs="Arial"/>
                <w:sz w:val="20"/>
                <w:szCs w:val="20"/>
              </w:rPr>
              <w:t xml:space="preserve">accounting </w:t>
            </w:r>
            <w:r w:rsidR="00045282" w:rsidRPr="00321DB1">
              <w:rPr>
                <w:rFonts w:ascii="Arial" w:hAnsi="Arial" w:cs="Arial"/>
                <w:sz w:val="20"/>
                <w:szCs w:val="20"/>
              </w:rPr>
              <w:t xml:space="preserve">accreditation must be a well-defined, established entity and a member of AACSB International in good standing. The entity seeking AACSB </w:t>
            </w:r>
            <w:r w:rsidR="00DE4D20" w:rsidRPr="00321DB1">
              <w:rPr>
                <w:rFonts w:ascii="Arial" w:hAnsi="Arial" w:cs="Arial"/>
                <w:sz w:val="20"/>
                <w:szCs w:val="20"/>
              </w:rPr>
              <w:t xml:space="preserve">accounting </w:t>
            </w:r>
            <w:r w:rsidR="00045282" w:rsidRPr="00321DB1">
              <w:rPr>
                <w:rFonts w:ascii="Arial" w:hAnsi="Arial" w:cs="Arial"/>
                <w:sz w:val="20"/>
                <w:szCs w:val="20"/>
              </w:rPr>
              <w:t>accreditation may be an institution authorized to award bachelor’s degrees or higher (in business) or under certain circumstances a business academic unit within a larger institution.</w:t>
            </w:r>
          </w:p>
        </w:tc>
        <w:tc>
          <w:tcPr>
            <w:tcW w:w="7992" w:type="dxa"/>
            <w:vAlign w:val="center"/>
          </w:tcPr>
          <w:p w:rsidR="00045282" w:rsidRPr="00321DB1" w:rsidRDefault="00045282" w:rsidP="008F0743">
            <w:pPr>
              <w:spacing w:after="120"/>
              <w:rPr>
                <w:rFonts w:ascii="Arial" w:hAnsi="Arial" w:cs="Arial"/>
                <w:sz w:val="20"/>
                <w:szCs w:val="20"/>
              </w:rPr>
            </w:pPr>
          </w:p>
          <w:p w:rsidR="00045282" w:rsidRPr="00321DB1" w:rsidRDefault="00045282" w:rsidP="008F0743">
            <w:pPr>
              <w:spacing w:after="120"/>
              <w:rPr>
                <w:rFonts w:ascii="Arial" w:hAnsi="Arial" w:cs="Arial"/>
                <w:sz w:val="20"/>
                <w:szCs w:val="20"/>
              </w:rPr>
            </w:pPr>
          </w:p>
          <w:p w:rsidR="00045282" w:rsidRPr="00321DB1" w:rsidRDefault="00045282" w:rsidP="008F0743">
            <w:pPr>
              <w:spacing w:after="120"/>
              <w:rPr>
                <w:rFonts w:ascii="Arial" w:hAnsi="Arial" w:cs="Arial"/>
                <w:sz w:val="20"/>
                <w:szCs w:val="20"/>
              </w:rPr>
            </w:pPr>
          </w:p>
          <w:p w:rsidR="00045282" w:rsidRPr="00321DB1" w:rsidRDefault="00045282" w:rsidP="008F0743">
            <w:pPr>
              <w:spacing w:after="120"/>
              <w:rPr>
                <w:rFonts w:ascii="Arial" w:hAnsi="Arial" w:cs="Arial"/>
                <w:sz w:val="20"/>
                <w:szCs w:val="20"/>
              </w:rPr>
            </w:pPr>
          </w:p>
          <w:p w:rsidR="00045282" w:rsidRPr="00321DB1" w:rsidRDefault="00045282" w:rsidP="008F0743">
            <w:pPr>
              <w:spacing w:after="120"/>
              <w:rPr>
                <w:rFonts w:ascii="Arial" w:hAnsi="Arial" w:cs="Arial"/>
                <w:sz w:val="20"/>
                <w:szCs w:val="20"/>
              </w:rPr>
            </w:pPr>
          </w:p>
        </w:tc>
      </w:tr>
      <w:tr w:rsidR="00045282" w:rsidRPr="00321DB1" w:rsidTr="008F0743">
        <w:trPr>
          <w:trHeight w:val="1430"/>
        </w:trPr>
        <w:tc>
          <w:tcPr>
            <w:tcW w:w="6048" w:type="dxa"/>
          </w:tcPr>
          <w:p w:rsidR="00321DB1" w:rsidRPr="00321DB1" w:rsidRDefault="00A7671A" w:rsidP="008F0743">
            <w:pPr>
              <w:spacing w:after="120"/>
              <w:rPr>
                <w:rFonts w:ascii="Arial" w:hAnsi="Arial" w:cs="Arial"/>
                <w:sz w:val="20"/>
                <w:szCs w:val="20"/>
              </w:rPr>
            </w:pPr>
            <w:r>
              <w:rPr>
                <w:rFonts w:ascii="Arial" w:hAnsi="Arial" w:cs="Arial"/>
                <w:sz w:val="20"/>
                <w:szCs w:val="20"/>
              </w:rPr>
              <w:t xml:space="preserve">Criterion </w:t>
            </w:r>
            <w:r w:rsidR="00045282" w:rsidRPr="00321DB1">
              <w:rPr>
                <w:rFonts w:ascii="Arial" w:hAnsi="Arial" w:cs="Arial"/>
                <w:sz w:val="20"/>
                <w:szCs w:val="20"/>
              </w:rPr>
              <w:t>E.  The school must be structured to ensure proper oversight, accountability, and responsibility for the school’s operations; must be supported by continuing resources (human, financial, infrastructure, and physical); and must have policies and processes for continuous improvement.</w:t>
            </w:r>
          </w:p>
        </w:tc>
        <w:tc>
          <w:tcPr>
            <w:tcW w:w="7992" w:type="dxa"/>
            <w:vAlign w:val="center"/>
          </w:tcPr>
          <w:p w:rsidR="00045282" w:rsidRPr="00321DB1" w:rsidRDefault="00045282" w:rsidP="008F0743">
            <w:pPr>
              <w:spacing w:after="120"/>
              <w:rPr>
                <w:rFonts w:ascii="Arial" w:hAnsi="Arial" w:cs="Arial"/>
                <w:sz w:val="20"/>
                <w:szCs w:val="20"/>
              </w:rPr>
            </w:pPr>
          </w:p>
        </w:tc>
      </w:tr>
      <w:tr w:rsidR="00045282" w:rsidRPr="00321DB1" w:rsidTr="00A7671A">
        <w:trPr>
          <w:trHeight w:val="1592"/>
        </w:trPr>
        <w:tc>
          <w:tcPr>
            <w:tcW w:w="6048" w:type="dxa"/>
          </w:tcPr>
          <w:p w:rsidR="00321DB1" w:rsidRPr="00321DB1" w:rsidRDefault="00A7671A" w:rsidP="008F0743">
            <w:pPr>
              <w:spacing w:after="120"/>
              <w:rPr>
                <w:rFonts w:ascii="Arial" w:hAnsi="Arial" w:cs="Arial"/>
                <w:sz w:val="20"/>
                <w:szCs w:val="20"/>
              </w:rPr>
            </w:pPr>
            <w:r>
              <w:rPr>
                <w:rFonts w:ascii="Arial" w:hAnsi="Arial" w:cs="Arial"/>
                <w:sz w:val="20"/>
                <w:szCs w:val="20"/>
              </w:rPr>
              <w:t xml:space="preserve">Criterion </w:t>
            </w:r>
            <w:r w:rsidR="00045282" w:rsidRPr="00321DB1">
              <w:rPr>
                <w:rFonts w:ascii="Arial" w:hAnsi="Arial" w:cs="Arial"/>
                <w:sz w:val="20"/>
                <w:szCs w:val="20"/>
              </w:rPr>
              <w:t xml:space="preserve">F.  All degree programs included in the AACSB </w:t>
            </w:r>
            <w:r w:rsidR="00DE4D20" w:rsidRPr="00321DB1">
              <w:rPr>
                <w:rFonts w:ascii="Arial" w:hAnsi="Arial" w:cs="Arial"/>
                <w:sz w:val="20"/>
                <w:szCs w:val="20"/>
              </w:rPr>
              <w:t xml:space="preserve">accounting </w:t>
            </w:r>
            <w:r w:rsidR="00045282" w:rsidRPr="00321DB1">
              <w:rPr>
                <w:rFonts w:ascii="Arial" w:hAnsi="Arial" w:cs="Arial"/>
                <w:sz w:val="20"/>
                <w:szCs w:val="20"/>
              </w:rPr>
              <w:t xml:space="preserve">accreditation review must demonstrate continuing adherence to AACSB </w:t>
            </w:r>
            <w:r w:rsidR="00DE4D20" w:rsidRPr="00321DB1">
              <w:rPr>
                <w:rFonts w:ascii="Arial" w:hAnsi="Arial" w:cs="Arial"/>
                <w:sz w:val="20"/>
                <w:szCs w:val="20"/>
              </w:rPr>
              <w:t xml:space="preserve">accounting </w:t>
            </w:r>
            <w:r w:rsidR="00045282" w:rsidRPr="00321DB1">
              <w:rPr>
                <w:rFonts w:ascii="Arial" w:hAnsi="Arial" w:cs="Arial"/>
                <w:sz w:val="20"/>
                <w:szCs w:val="20"/>
              </w:rPr>
              <w:t>accreditation standards. Schools are expected to maintain and provide timely, accurate information in support of each accreditation review.</w:t>
            </w:r>
            <w:bookmarkStart w:id="0" w:name="_GoBack"/>
            <w:bookmarkEnd w:id="0"/>
          </w:p>
        </w:tc>
        <w:tc>
          <w:tcPr>
            <w:tcW w:w="7992" w:type="dxa"/>
            <w:vAlign w:val="center"/>
          </w:tcPr>
          <w:p w:rsidR="00045282" w:rsidRPr="00321DB1" w:rsidRDefault="00045282" w:rsidP="008F0743">
            <w:pPr>
              <w:spacing w:after="120"/>
              <w:rPr>
                <w:rFonts w:ascii="Arial" w:hAnsi="Arial" w:cs="Arial"/>
                <w:sz w:val="20"/>
                <w:szCs w:val="20"/>
              </w:rPr>
            </w:pPr>
          </w:p>
          <w:p w:rsidR="00045282" w:rsidRPr="00321DB1" w:rsidRDefault="00045282" w:rsidP="008F0743">
            <w:pPr>
              <w:spacing w:after="120"/>
              <w:rPr>
                <w:rFonts w:ascii="Arial" w:hAnsi="Arial" w:cs="Arial"/>
                <w:sz w:val="20"/>
                <w:szCs w:val="20"/>
              </w:rPr>
            </w:pPr>
          </w:p>
        </w:tc>
      </w:tr>
    </w:tbl>
    <w:p w:rsidR="00A02BA3" w:rsidRPr="002E19BC" w:rsidRDefault="00A02BA3" w:rsidP="00045282">
      <w:pPr>
        <w:rPr>
          <w:rFonts w:ascii="Arial" w:hAnsi="Arial" w:cs="Arial"/>
          <w:sz w:val="18"/>
          <w:szCs w:val="18"/>
        </w:rPr>
      </w:pPr>
      <w:r w:rsidRPr="002E19BC">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7025"/>
      </w:tblGrid>
      <w:tr w:rsidR="00A02BA3" w:rsidRPr="008F0743" w:rsidTr="008F0743">
        <w:trPr>
          <w:trHeight w:val="503"/>
        </w:trPr>
        <w:tc>
          <w:tcPr>
            <w:tcW w:w="7015" w:type="dxa"/>
            <w:vAlign w:val="center"/>
          </w:tcPr>
          <w:p w:rsidR="00A02BA3" w:rsidRPr="008F0743" w:rsidRDefault="00A02BA3" w:rsidP="008F0743">
            <w:pPr>
              <w:spacing w:after="120"/>
              <w:jc w:val="center"/>
              <w:rPr>
                <w:rFonts w:ascii="Arial" w:hAnsi="Arial" w:cs="Arial"/>
                <w:b/>
                <w:sz w:val="20"/>
                <w:szCs w:val="20"/>
              </w:rPr>
            </w:pPr>
            <w:r w:rsidRPr="008F0743">
              <w:rPr>
                <w:rFonts w:ascii="Arial" w:hAnsi="Arial" w:cs="Arial"/>
                <w:b/>
                <w:sz w:val="20"/>
                <w:szCs w:val="20"/>
              </w:rPr>
              <w:lastRenderedPageBreak/>
              <w:t>ACCOUNTING</w:t>
            </w:r>
            <w:r w:rsidR="00543265" w:rsidRPr="008F0743">
              <w:rPr>
                <w:rFonts w:ascii="Arial" w:hAnsi="Arial" w:cs="Arial"/>
                <w:b/>
                <w:sz w:val="20"/>
                <w:szCs w:val="20"/>
              </w:rPr>
              <w:t xml:space="preserve"> </w:t>
            </w:r>
            <w:r w:rsidR="00045282" w:rsidRPr="008F0743">
              <w:rPr>
                <w:rFonts w:ascii="Arial" w:hAnsi="Arial" w:cs="Arial"/>
                <w:b/>
                <w:bCs/>
                <w:sz w:val="20"/>
                <w:szCs w:val="20"/>
              </w:rPr>
              <w:t>STRATEGIC MANAGEMENT AND INNOVATION</w:t>
            </w:r>
            <w:r w:rsidRPr="008F0743">
              <w:rPr>
                <w:rFonts w:ascii="Arial" w:hAnsi="Arial" w:cs="Arial"/>
                <w:b/>
                <w:sz w:val="20"/>
                <w:szCs w:val="20"/>
              </w:rPr>
              <w:t xml:space="preserve"> STANDARDS</w:t>
            </w:r>
          </w:p>
        </w:tc>
        <w:tc>
          <w:tcPr>
            <w:tcW w:w="7025" w:type="dxa"/>
          </w:tcPr>
          <w:p w:rsidR="00A02BA3" w:rsidRPr="008F0743" w:rsidRDefault="00A02BA3" w:rsidP="008F0743">
            <w:pPr>
              <w:pStyle w:val="Heading1"/>
              <w:spacing w:after="120"/>
              <w:rPr>
                <w:rFonts w:ascii="Arial" w:hAnsi="Arial" w:cs="Arial"/>
                <w:bCs/>
                <w:sz w:val="20"/>
                <w:szCs w:val="20"/>
              </w:rPr>
            </w:pPr>
            <w:r w:rsidRPr="008F0743">
              <w:rPr>
                <w:rFonts w:ascii="Arial" w:hAnsi="Arial" w:cs="Arial"/>
                <w:bCs/>
                <w:sz w:val="20"/>
                <w:szCs w:val="20"/>
              </w:rPr>
              <w:t>QUESTIONS/COMMENTS</w:t>
            </w:r>
          </w:p>
        </w:tc>
      </w:tr>
      <w:tr w:rsidR="00A02BA3" w:rsidRPr="008F0743" w:rsidTr="008F0743">
        <w:trPr>
          <w:trHeight w:val="1808"/>
        </w:trPr>
        <w:tc>
          <w:tcPr>
            <w:tcW w:w="7015" w:type="dxa"/>
          </w:tcPr>
          <w:p w:rsidR="008F0743" w:rsidRDefault="00045282" w:rsidP="008F0743">
            <w:pPr>
              <w:pStyle w:val="BodyText3"/>
              <w:tabs>
                <w:tab w:val="clear" w:pos="630"/>
                <w:tab w:val="clear" w:pos="720"/>
              </w:tabs>
              <w:spacing w:after="120"/>
              <w:rPr>
                <w:rFonts w:ascii="Arial" w:hAnsi="Arial" w:cs="Arial"/>
                <w:sz w:val="20"/>
              </w:rPr>
            </w:pPr>
            <w:r w:rsidRPr="008F0743">
              <w:rPr>
                <w:rFonts w:ascii="Arial" w:hAnsi="Arial" w:cs="Arial"/>
                <w:b w:val="0"/>
                <w:bCs w:val="0"/>
                <w:sz w:val="20"/>
              </w:rPr>
              <w:t xml:space="preserve">A1. </w:t>
            </w:r>
            <w:r w:rsidRPr="008F0743">
              <w:rPr>
                <w:rFonts w:ascii="Arial" w:hAnsi="Arial" w:cs="Arial"/>
                <w:b w:val="0"/>
                <w:bCs w:val="0"/>
                <w:sz w:val="20"/>
                <w:u w:val="single"/>
              </w:rPr>
              <w:t xml:space="preserve">Accounting Academic Unit Mission, Impact, and </w:t>
            </w:r>
            <w:r w:rsidR="00C9128F" w:rsidRPr="008F0743">
              <w:rPr>
                <w:rFonts w:ascii="Arial" w:hAnsi="Arial" w:cs="Arial"/>
                <w:b w:val="0"/>
                <w:bCs w:val="0"/>
                <w:sz w:val="20"/>
                <w:u w:val="single"/>
              </w:rPr>
              <w:t xml:space="preserve">Innovation </w:t>
            </w:r>
            <w:r w:rsidRPr="008F0743">
              <w:rPr>
                <w:rFonts w:ascii="Arial" w:hAnsi="Arial" w:cs="Arial"/>
                <w:b w:val="0"/>
                <w:bCs w:val="0"/>
                <w:sz w:val="20"/>
                <w:u w:val="single"/>
              </w:rPr>
              <w:br/>
            </w:r>
            <w:r w:rsidRPr="008F0743">
              <w:rPr>
                <w:rFonts w:ascii="Arial" w:hAnsi="Arial" w:cs="Arial"/>
                <w:b w:val="0"/>
                <w:sz w:val="20"/>
              </w:rPr>
              <w:t>(Related Business Standard:</w:t>
            </w:r>
            <w:r w:rsidRPr="008F0743">
              <w:rPr>
                <w:rFonts w:ascii="Arial" w:hAnsi="Arial" w:cs="Arial"/>
                <w:sz w:val="20"/>
              </w:rPr>
              <w:t xml:space="preserve"> </w:t>
            </w:r>
            <w:r w:rsidRPr="008F0743">
              <w:rPr>
                <w:rFonts w:ascii="Arial" w:hAnsi="Arial" w:cs="Arial"/>
                <w:b w:val="0"/>
                <w:bCs w:val="0"/>
                <w:sz w:val="20"/>
              </w:rPr>
              <w:t>Standard 1</w:t>
            </w:r>
            <w:r w:rsidRPr="008F0743">
              <w:rPr>
                <w:rFonts w:ascii="Arial" w:hAnsi="Arial" w:cs="Arial"/>
                <w:sz w:val="20"/>
              </w:rPr>
              <w:t>)</w:t>
            </w:r>
          </w:p>
          <w:p w:rsidR="008F0743" w:rsidRDefault="00045282" w:rsidP="008F0743">
            <w:pPr>
              <w:pStyle w:val="BodyText3"/>
              <w:tabs>
                <w:tab w:val="clear" w:pos="630"/>
                <w:tab w:val="clear" w:pos="720"/>
              </w:tabs>
              <w:spacing w:after="120"/>
              <w:rPr>
                <w:rFonts w:ascii="Arial" w:hAnsi="Arial" w:cs="Arial"/>
                <w:b w:val="0"/>
                <w:bCs w:val="0"/>
                <w:sz w:val="20"/>
              </w:rPr>
            </w:pPr>
            <w:r w:rsidRPr="008F0743">
              <w:rPr>
                <w:rFonts w:ascii="Arial" w:hAnsi="Arial" w:cs="Arial"/>
                <w:b w:val="0"/>
                <w:bCs w:val="0"/>
                <w:sz w:val="20"/>
              </w:rPr>
              <w:t>The accounting academic unit articulates a clear and distinctive mission, the expected outcomes this mission implies, and the strategies it will employ to achieve these outcomes. The unit has a history of achievement and improvement and specifies future actions for continuous improvement and innovation consistent with its mission, expected outcomes, and strategies</w:t>
            </w:r>
            <w:r w:rsidR="008F0743">
              <w:rPr>
                <w:rFonts w:ascii="Arial" w:hAnsi="Arial" w:cs="Arial"/>
                <w:b w:val="0"/>
                <w:bCs w:val="0"/>
                <w:sz w:val="20"/>
              </w:rPr>
              <w:t>.</w:t>
            </w:r>
          </w:p>
          <w:p w:rsidR="008F0743" w:rsidRPr="008F0743" w:rsidRDefault="008F0743" w:rsidP="008F0743">
            <w:pPr>
              <w:pStyle w:val="BodyText3"/>
              <w:tabs>
                <w:tab w:val="clear" w:pos="630"/>
                <w:tab w:val="clear" w:pos="720"/>
              </w:tabs>
              <w:spacing w:after="120"/>
              <w:rPr>
                <w:rFonts w:ascii="Arial" w:hAnsi="Arial" w:cs="Arial"/>
                <w:b w:val="0"/>
                <w:bCs w:val="0"/>
                <w:sz w:val="20"/>
              </w:rPr>
            </w:pPr>
          </w:p>
        </w:tc>
        <w:tc>
          <w:tcPr>
            <w:tcW w:w="7025" w:type="dxa"/>
          </w:tcPr>
          <w:p w:rsidR="00A02BA3" w:rsidRPr="008F0743" w:rsidRDefault="00A02BA3" w:rsidP="008F0743">
            <w:pPr>
              <w:spacing w:after="120"/>
              <w:rPr>
                <w:rFonts w:ascii="Arial" w:hAnsi="Arial" w:cs="Arial"/>
                <w:sz w:val="20"/>
                <w:szCs w:val="20"/>
              </w:rPr>
            </w:pPr>
          </w:p>
        </w:tc>
      </w:tr>
      <w:tr w:rsidR="00A02BA3" w:rsidRPr="008F0743" w:rsidTr="008F0743">
        <w:trPr>
          <w:trHeight w:val="1565"/>
        </w:trPr>
        <w:tc>
          <w:tcPr>
            <w:tcW w:w="7015" w:type="dxa"/>
          </w:tcPr>
          <w:p w:rsidR="008F0743" w:rsidRDefault="00045282" w:rsidP="008F0743">
            <w:pPr>
              <w:spacing w:after="120"/>
              <w:rPr>
                <w:rFonts w:ascii="Arial" w:hAnsi="Arial" w:cs="Arial"/>
                <w:sz w:val="20"/>
                <w:szCs w:val="20"/>
              </w:rPr>
            </w:pPr>
            <w:r w:rsidRPr="008F0743">
              <w:rPr>
                <w:rFonts w:ascii="Arial" w:hAnsi="Arial" w:cs="Arial"/>
                <w:sz w:val="20"/>
                <w:szCs w:val="20"/>
              </w:rPr>
              <w:t xml:space="preserve">A2. </w:t>
            </w:r>
            <w:r w:rsidRPr="008F0743">
              <w:rPr>
                <w:rFonts w:ascii="Arial" w:hAnsi="Arial" w:cs="Arial"/>
                <w:bCs/>
                <w:sz w:val="20"/>
                <w:szCs w:val="20"/>
                <w:u w:val="single"/>
              </w:rPr>
              <w:t>Accounting Intellectual Contributions</w:t>
            </w:r>
            <w:r w:rsidR="00DE4D20" w:rsidRPr="008F0743">
              <w:rPr>
                <w:rFonts w:ascii="Arial" w:hAnsi="Arial" w:cs="Arial"/>
                <w:bCs/>
                <w:sz w:val="20"/>
                <w:szCs w:val="20"/>
                <w:u w:val="single"/>
              </w:rPr>
              <w:t>’</w:t>
            </w:r>
            <w:r w:rsidRPr="008F0743">
              <w:rPr>
                <w:rFonts w:ascii="Arial" w:hAnsi="Arial" w:cs="Arial"/>
                <w:bCs/>
                <w:sz w:val="20"/>
                <w:szCs w:val="20"/>
                <w:u w:val="single"/>
              </w:rPr>
              <w:t xml:space="preserve"> Impact and Alignment with Mission</w:t>
            </w:r>
            <w:r w:rsidRPr="008F0743">
              <w:rPr>
                <w:rFonts w:ascii="Arial" w:hAnsi="Arial" w:cs="Arial"/>
                <w:sz w:val="20"/>
                <w:szCs w:val="20"/>
                <w:u w:val="single"/>
              </w:rPr>
              <w:br/>
            </w:r>
            <w:r w:rsidRPr="008F0743">
              <w:rPr>
                <w:rFonts w:ascii="Arial" w:hAnsi="Arial" w:cs="Arial"/>
                <w:sz w:val="20"/>
                <w:szCs w:val="20"/>
              </w:rPr>
              <w:t xml:space="preserve">(Related Business Standard: </w:t>
            </w:r>
            <w:r w:rsidRPr="008F0743">
              <w:rPr>
                <w:rFonts w:ascii="Arial" w:hAnsi="Arial" w:cs="Arial"/>
                <w:bCs/>
                <w:sz w:val="20"/>
                <w:szCs w:val="20"/>
              </w:rPr>
              <w:t>Standard 2</w:t>
            </w:r>
            <w:r w:rsidRPr="008F0743">
              <w:rPr>
                <w:rFonts w:ascii="Arial" w:hAnsi="Arial" w:cs="Arial"/>
                <w:sz w:val="20"/>
                <w:szCs w:val="20"/>
              </w:rPr>
              <w:t>)</w:t>
            </w:r>
          </w:p>
          <w:p w:rsidR="008F0743" w:rsidRDefault="00045282" w:rsidP="008F0743">
            <w:pPr>
              <w:spacing w:after="120"/>
              <w:rPr>
                <w:rFonts w:ascii="Arial" w:hAnsi="Arial" w:cs="Arial"/>
                <w:bCs/>
                <w:sz w:val="20"/>
                <w:szCs w:val="20"/>
              </w:rPr>
            </w:pPr>
            <w:r w:rsidRPr="008F0743">
              <w:rPr>
                <w:rFonts w:ascii="Arial" w:hAnsi="Arial" w:cs="Arial"/>
                <w:bCs/>
                <w:sz w:val="20"/>
                <w:szCs w:val="20"/>
              </w:rPr>
              <w:t>The accounting academic unit produces high-quality intellectual contributions that are consistent with its mission, expected outcomes, and strategies and that impact the theory, practice, and teaching of accounting, business, and management</w:t>
            </w:r>
            <w:r w:rsidR="00321DB1" w:rsidRPr="008F0743">
              <w:rPr>
                <w:rFonts w:ascii="Arial" w:hAnsi="Arial" w:cs="Arial"/>
                <w:bCs/>
                <w:sz w:val="20"/>
                <w:szCs w:val="20"/>
              </w:rPr>
              <w:t>.</w:t>
            </w:r>
          </w:p>
          <w:p w:rsidR="008F0743" w:rsidRPr="008F0743" w:rsidRDefault="008F0743" w:rsidP="008F0743">
            <w:pPr>
              <w:spacing w:after="120"/>
              <w:rPr>
                <w:rFonts w:ascii="Arial" w:hAnsi="Arial" w:cs="Arial"/>
                <w:bCs/>
                <w:sz w:val="20"/>
                <w:szCs w:val="20"/>
              </w:rPr>
            </w:pPr>
          </w:p>
        </w:tc>
        <w:tc>
          <w:tcPr>
            <w:tcW w:w="7025" w:type="dxa"/>
          </w:tcPr>
          <w:p w:rsidR="00A02BA3" w:rsidRPr="008F0743" w:rsidRDefault="00A02BA3" w:rsidP="008F0743">
            <w:pPr>
              <w:spacing w:after="120"/>
              <w:rPr>
                <w:rFonts w:ascii="Arial" w:hAnsi="Arial" w:cs="Arial"/>
                <w:sz w:val="20"/>
                <w:szCs w:val="20"/>
              </w:rPr>
            </w:pPr>
          </w:p>
        </w:tc>
      </w:tr>
      <w:tr w:rsidR="00045282" w:rsidRPr="008F0743" w:rsidTr="008F0743">
        <w:trPr>
          <w:trHeight w:val="1151"/>
        </w:trPr>
        <w:tc>
          <w:tcPr>
            <w:tcW w:w="7015" w:type="dxa"/>
          </w:tcPr>
          <w:p w:rsidR="008F0743" w:rsidRDefault="00045282" w:rsidP="008F0743">
            <w:pPr>
              <w:spacing w:after="120"/>
              <w:rPr>
                <w:rFonts w:ascii="Arial" w:hAnsi="Arial" w:cs="Arial"/>
                <w:sz w:val="20"/>
                <w:szCs w:val="20"/>
              </w:rPr>
            </w:pPr>
            <w:r w:rsidRPr="008F0743">
              <w:rPr>
                <w:rFonts w:ascii="Arial" w:hAnsi="Arial" w:cs="Arial"/>
                <w:sz w:val="20"/>
                <w:szCs w:val="20"/>
              </w:rPr>
              <w:t xml:space="preserve">A3. </w:t>
            </w:r>
            <w:r w:rsidR="00702866" w:rsidRPr="008F0743">
              <w:rPr>
                <w:rFonts w:ascii="Arial" w:hAnsi="Arial" w:cs="Arial"/>
                <w:bCs/>
                <w:sz w:val="20"/>
                <w:szCs w:val="20"/>
                <w:u w:val="single"/>
              </w:rPr>
              <w:t>Financial Strategies And Allocation Of Resources</w:t>
            </w:r>
            <w:r w:rsidR="00702866" w:rsidRPr="008F0743">
              <w:rPr>
                <w:rFonts w:ascii="Arial" w:hAnsi="Arial" w:cs="Arial"/>
                <w:bCs/>
                <w:sz w:val="20"/>
                <w:szCs w:val="20"/>
              </w:rPr>
              <w:t xml:space="preserve"> </w:t>
            </w:r>
            <w:r w:rsidRPr="008F0743">
              <w:rPr>
                <w:rFonts w:ascii="Arial" w:hAnsi="Arial" w:cs="Arial"/>
                <w:sz w:val="20"/>
                <w:szCs w:val="20"/>
              </w:rPr>
              <w:br/>
              <w:t xml:space="preserve">(Related Business Standard: </w:t>
            </w:r>
            <w:r w:rsidRPr="008F0743">
              <w:rPr>
                <w:rFonts w:ascii="Arial" w:hAnsi="Arial" w:cs="Arial"/>
                <w:bCs/>
                <w:sz w:val="20"/>
                <w:szCs w:val="20"/>
              </w:rPr>
              <w:t>Standard 3</w:t>
            </w:r>
            <w:r w:rsidR="00702866" w:rsidRPr="008F0743">
              <w:rPr>
                <w:rFonts w:ascii="Arial" w:hAnsi="Arial" w:cs="Arial"/>
                <w:sz w:val="20"/>
                <w:szCs w:val="20"/>
              </w:rPr>
              <w:t>)</w:t>
            </w:r>
          </w:p>
          <w:p w:rsidR="008F0743" w:rsidRDefault="00045282" w:rsidP="008F0743">
            <w:pPr>
              <w:spacing w:after="120"/>
              <w:rPr>
                <w:rFonts w:ascii="Arial" w:hAnsi="Arial" w:cs="Arial"/>
                <w:bCs/>
                <w:sz w:val="20"/>
                <w:szCs w:val="20"/>
              </w:rPr>
            </w:pPr>
            <w:r w:rsidRPr="008F0743">
              <w:rPr>
                <w:rFonts w:ascii="Arial" w:hAnsi="Arial" w:cs="Arial"/>
                <w:bCs/>
                <w:sz w:val="20"/>
                <w:szCs w:val="20"/>
              </w:rPr>
              <w:t>The accounting academic unit has financial strategies to provide resources appropriate to, and sufficient for, achieving its mission and action items.</w:t>
            </w:r>
          </w:p>
          <w:p w:rsidR="008F0743" w:rsidRPr="008F0743" w:rsidRDefault="008F0743" w:rsidP="008F0743">
            <w:pPr>
              <w:spacing w:after="120"/>
              <w:rPr>
                <w:rFonts w:ascii="Arial" w:hAnsi="Arial" w:cs="Arial"/>
                <w:bCs/>
                <w:sz w:val="20"/>
                <w:szCs w:val="20"/>
              </w:rPr>
            </w:pPr>
          </w:p>
        </w:tc>
        <w:tc>
          <w:tcPr>
            <w:tcW w:w="7025" w:type="dxa"/>
          </w:tcPr>
          <w:p w:rsidR="00045282" w:rsidRPr="008F0743" w:rsidRDefault="00045282" w:rsidP="008F0743">
            <w:pPr>
              <w:pStyle w:val="Heading1"/>
              <w:spacing w:after="120"/>
              <w:rPr>
                <w:rFonts w:ascii="Arial" w:hAnsi="Arial" w:cs="Arial"/>
                <w:bCs/>
                <w:sz w:val="20"/>
                <w:szCs w:val="20"/>
              </w:rPr>
            </w:pPr>
          </w:p>
        </w:tc>
      </w:tr>
      <w:tr w:rsidR="00A02BA3" w:rsidRPr="008F0743" w:rsidTr="008F0743">
        <w:trPr>
          <w:trHeight w:val="449"/>
        </w:trPr>
        <w:tc>
          <w:tcPr>
            <w:tcW w:w="7015" w:type="dxa"/>
            <w:vAlign w:val="center"/>
          </w:tcPr>
          <w:p w:rsidR="00A02BA3" w:rsidRPr="008F0743" w:rsidRDefault="00702866" w:rsidP="008F0743">
            <w:pPr>
              <w:pStyle w:val="EnvelopeReturn"/>
              <w:spacing w:after="120"/>
              <w:jc w:val="center"/>
              <w:rPr>
                <w:rFonts w:ascii="Arial" w:hAnsi="Arial" w:cs="Arial"/>
                <w:b/>
                <w:bCs/>
                <w:sz w:val="20"/>
              </w:rPr>
            </w:pPr>
            <w:r w:rsidRPr="008F0743">
              <w:rPr>
                <w:rFonts w:ascii="Arial" w:hAnsi="Arial" w:cs="Arial"/>
                <w:sz w:val="20"/>
              </w:rPr>
              <w:br w:type="page"/>
            </w:r>
            <w:r w:rsidRPr="008F0743">
              <w:rPr>
                <w:rFonts w:ascii="Arial" w:hAnsi="Arial" w:cs="Arial"/>
                <w:b/>
                <w:bCs/>
                <w:sz w:val="20"/>
              </w:rPr>
              <w:t>ACCOUNTING LEARNING AND TEACHING STANDARDS</w:t>
            </w:r>
          </w:p>
        </w:tc>
        <w:tc>
          <w:tcPr>
            <w:tcW w:w="7025" w:type="dxa"/>
            <w:vAlign w:val="center"/>
          </w:tcPr>
          <w:p w:rsidR="00A02BA3" w:rsidRPr="008F0743" w:rsidRDefault="00702866" w:rsidP="008F0743">
            <w:pPr>
              <w:spacing w:after="120"/>
              <w:jc w:val="center"/>
              <w:rPr>
                <w:rFonts w:ascii="Arial" w:hAnsi="Arial" w:cs="Arial"/>
                <w:b/>
                <w:sz w:val="20"/>
                <w:szCs w:val="20"/>
              </w:rPr>
            </w:pPr>
            <w:r w:rsidRPr="008F0743">
              <w:rPr>
                <w:rFonts w:ascii="Arial" w:hAnsi="Arial" w:cs="Arial"/>
                <w:b/>
                <w:bCs/>
                <w:sz w:val="20"/>
                <w:szCs w:val="20"/>
              </w:rPr>
              <w:t>QUESTIONS/COMMENTS</w:t>
            </w:r>
          </w:p>
        </w:tc>
      </w:tr>
      <w:tr w:rsidR="00702866" w:rsidRPr="008F0743" w:rsidTr="008F0743">
        <w:trPr>
          <w:trHeight w:val="1440"/>
        </w:trPr>
        <w:tc>
          <w:tcPr>
            <w:tcW w:w="7015" w:type="dxa"/>
          </w:tcPr>
          <w:p w:rsidR="008F0743" w:rsidRDefault="0008234C" w:rsidP="008F0743">
            <w:pPr>
              <w:pStyle w:val="EnvelopeReturn"/>
              <w:spacing w:after="120"/>
              <w:rPr>
                <w:rFonts w:ascii="Arial" w:hAnsi="Arial" w:cs="Arial"/>
                <w:bCs/>
                <w:sz w:val="20"/>
              </w:rPr>
            </w:pPr>
            <w:r w:rsidRPr="008F0743">
              <w:rPr>
                <w:rFonts w:ascii="Arial" w:hAnsi="Arial" w:cs="Arial"/>
                <w:bCs/>
                <w:sz w:val="20"/>
              </w:rPr>
              <w:t>A</w:t>
            </w:r>
            <w:r w:rsidR="00321DB1" w:rsidRPr="008F0743">
              <w:rPr>
                <w:rFonts w:ascii="Arial" w:hAnsi="Arial" w:cs="Arial"/>
                <w:bCs/>
                <w:sz w:val="20"/>
              </w:rPr>
              <w:t>4</w:t>
            </w:r>
            <w:r w:rsidRPr="008F0743">
              <w:rPr>
                <w:rFonts w:ascii="Arial" w:hAnsi="Arial" w:cs="Arial"/>
                <w:bCs/>
                <w:sz w:val="20"/>
              </w:rPr>
              <w:t>.</w:t>
            </w:r>
            <w:r w:rsidR="00702866" w:rsidRPr="008F0743">
              <w:rPr>
                <w:rFonts w:ascii="Arial" w:hAnsi="Arial" w:cs="Arial"/>
                <w:bCs/>
                <w:sz w:val="20"/>
              </w:rPr>
              <w:t xml:space="preserve"> </w:t>
            </w:r>
            <w:r w:rsidR="00321DB1" w:rsidRPr="008F0743">
              <w:rPr>
                <w:rFonts w:ascii="Arial" w:hAnsi="Arial" w:cs="Arial"/>
                <w:color w:val="000000"/>
                <w:sz w:val="20"/>
                <w:u w:val="single"/>
                <w:shd w:val="clear" w:color="auto" w:fill="FFFFFF"/>
              </w:rPr>
              <w:t>Accounting Curricula Content, Management and Assurance of Learning</w:t>
            </w:r>
            <w:r w:rsidR="00321DB1" w:rsidRPr="008F0743">
              <w:rPr>
                <w:rFonts w:ascii="Arial" w:hAnsi="Arial" w:cs="Arial"/>
                <w:bCs/>
                <w:sz w:val="20"/>
                <w:u w:val="single"/>
              </w:rPr>
              <w:t xml:space="preserve"> </w:t>
            </w:r>
            <w:r w:rsidR="00702866" w:rsidRPr="008F0743">
              <w:rPr>
                <w:rFonts w:ascii="Arial" w:hAnsi="Arial" w:cs="Arial"/>
                <w:bCs/>
                <w:sz w:val="20"/>
              </w:rPr>
              <w:br/>
            </w:r>
            <w:r w:rsidR="00702866" w:rsidRPr="008F0743">
              <w:rPr>
                <w:rFonts w:ascii="Arial" w:hAnsi="Arial" w:cs="Arial"/>
                <w:sz w:val="20"/>
              </w:rPr>
              <w:t xml:space="preserve">(Related Business Standard: </w:t>
            </w:r>
            <w:r w:rsidR="00702866" w:rsidRPr="008F0743">
              <w:rPr>
                <w:rFonts w:ascii="Arial" w:hAnsi="Arial" w:cs="Arial"/>
                <w:bCs/>
                <w:sz w:val="20"/>
              </w:rPr>
              <w:t>Standard 8</w:t>
            </w:r>
            <w:r w:rsidR="00702866" w:rsidRPr="008F0743">
              <w:rPr>
                <w:rFonts w:ascii="Arial" w:hAnsi="Arial" w:cs="Arial"/>
                <w:sz w:val="20"/>
              </w:rPr>
              <w:t>)</w:t>
            </w:r>
          </w:p>
          <w:p w:rsidR="008F0743" w:rsidRPr="008F0743" w:rsidRDefault="00DE4D20" w:rsidP="008F0743">
            <w:pPr>
              <w:pStyle w:val="EnvelopeReturn"/>
              <w:spacing w:after="120"/>
              <w:rPr>
                <w:rFonts w:ascii="Arial" w:hAnsi="Arial" w:cs="Arial"/>
                <w:bCs/>
                <w:sz w:val="20"/>
              </w:rPr>
            </w:pPr>
            <w:r w:rsidRPr="008F0743">
              <w:rPr>
                <w:rFonts w:ascii="Arial" w:hAnsi="Arial" w:cs="Arial"/>
                <w:bCs/>
                <w:sz w:val="20"/>
              </w:rPr>
              <w:t xml:space="preserve">Curriculum content is appropriate to professional expectations and requirements for each accounting degree program and the related learning goals. </w:t>
            </w:r>
            <w:r w:rsidR="00702866" w:rsidRPr="008F0743">
              <w:rPr>
                <w:rFonts w:ascii="Arial" w:hAnsi="Arial" w:cs="Arial"/>
                <w:bCs/>
                <w:sz w:val="20"/>
              </w:rPr>
              <w:t xml:space="preserve">The accounting academic unit uses well-documented, systematic processes for determining and revising degree program learning goals; designing, delivering, and improving degree program curricula to achieve learning goals; and demonstrating that degree program learning goals have been met. </w:t>
            </w:r>
          </w:p>
        </w:tc>
        <w:tc>
          <w:tcPr>
            <w:tcW w:w="7025" w:type="dxa"/>
          </w:tcPr>
          <w:p w:rsidR="00702866" w:rsidRPr="008F0743" w:rsidRDefault="00702866" w:rsidP="008F0743">
            <w:pPr>
              <w:spacing w:after="120"/>
              <w:rPr>
                <w:rFonts w:ascii="Arial" w:hAnsi="Arial" w:cs="Arial"/>
                <w:bCs/>
                <w:sz w:val="20"/>
                <w:szCs w:val="20"/>
              </w:rPr>
            </w:pPr>
          </w:p>
        </w:tc>
      </w:tr>
      <w:tr w:rsidR="00702866" w:rsidRPr="008F0743" w:rsidTr="008F0743">
        <w:trPr>
          <w:trHeight w:val="1440"/>
        </w:trPr>
        <w:tc>
          <w:tcPr>
            <w:tcW w:w="7015" w:type="dxa"/>
          </w:tcPr>
          <w:p w:rsidR="008F0743" w:rsidRDefault="0008234C" w:rsidP="008F0743">
            <w:pPr>
              <w:pStyle w:val="Default"/>
              <w:spacing w:after="120"/>
              <w:rPr>
                <w:bCs/>
                <w:color w:val="auto"/>
                <w:sz w:val="20"/>
                <w:szCs w:val="20"/>
              </w:rPr>
            </w:pPr>
            <w:r w:rsidRPr="008F0743">
              <w:rPr>
                <w:bCs/>
                <w:sz w:val="20"/>
                <w:szCs w:val="20"/>
              </w:rPr>
              <w:lastRenderedPageBreak/>
              <w:t>A</w:t>
            </w:r>
            <w:r w:rsidR="00321DB1" w:rsidRPr="008F0743">
              <w:rPr>
                <w:bCs/>
                <w:sz w:val="20"/>
                <w:szCs w:val="20"/>
              </w:rPr>
              <w:t>5</w:t>
            </w:r>
            <w:r w:rsidRPr="008F0743">
              <w:rPr>
                <w:bCs/>
                <w:sz w:val="20"/>
                <w:szCs w:val="20"/>
              </w:rPr>
              <w:t>.</w:t>
            </w:r>
            <w:r w:rsidR="00C9128F" w:rsidRPr="008F0743">
              <w:rPr>
                <w:bCs/>
                <w:sz w:val="20"/>
                <w:szCs w:val="20"/>
                <w:u w:val="single"/>
              </w:rPr>
              <w:t xml:space="preserve"> </w:t>
            </w:r>
            <w:r w:rsidR="00C9128F" w:rsidRPr="008F0743">
              <w:rPr>
                <w:bCs/>
                <w:color w:val="auto"/>
                <w:sz w:val="20"/>
                <w:szCs w:val="20"/>
                <w:u w:val="single"/>
              </w:rPr>
              <w:t>Information Technology Skills</w:t>
            </w:r>
            <w:r w:rsidR="00321DB1" w:rsidRPr="008F0743">
              <w:rPr>
                <w:bCs/>
                <w:color w:val="auto"/>
                <w:sz w:val="20"/>
                <w:szCs w:val="20"/>
                <w:u w:val="single"/>
              </w:rPr>
              <w:t>, Agility</w:t>
            </w:r>
            <w:r w:rsidR="00C9128F" w:rsidRPr="008F0743">
              <w:rPr>
                <w:bCs/>
                <w:color w:val="auto"/>
                <w:sz w:val="20"/>
                <w:szCs w:val="20"/>
                <w:u w:val="single"/>
              </w:rPr>
              <w:t xml:space="preserve"> and Knowledge For Accounting Graduate</w:t>
            </w:r>
            <w:r w:rsidR="00321DB1" w:rsidRPr="008F0743">
              <w:rPr>
                <w:bCs/>
                <w:color w:val="auto"/>
                <w:sz w:val="20"/>
                <w:szCs w:val="20"/>
                <w:u w:val="single"/>
              </w:rPr>
              <w:t>s and Faculty</w:t>
            </w:r>
            <w:r w:rsidR="00C9128F" w:rsidRPr="008F0743">
              <w:rPr>
                <w:bCs/>
                <w:color w:val="auto"/>
                <w:sz w:val="20"/>
                <w:szCs w:val="20"/>
              </w:rPr>
              <w:br/>
            </w:r>
            <w:r w:rsidR="00C9128F" w:rsidRPr="008F0743">
              <w:rPr>
                <w:sz w:val="20"/>
                <w:szCs w:val="20"/>
              </w:rPr>
              <w:t xml:space="preserve">(Related Business Standard: </w:t>
            </w:r>
            <w:r w:rsidR="00C9128F" w:rsidRPr="008F0743">
              <w:rPr>
                <w:bCs/>
                <w:sz w:val="20"/>
                <w:szCs w:val="20"/>
              </w:rPr>
              <w:t>None</w:t>
            </w:r>
            <w:r w:rsidR="00C9128F" w:rsidRPr="008F0743">
              <w:rPr>
                <w:sz w:val="20"/>
                <w:szCs w:val="20"/>
              </w:rPr>
              <w:t>)</w:t>
            </w:r>
          </w:p>
          <w:p w:rsidR="008F0743" w:rsidRPr="008F0743" w:rsidRDefault="00702866" w:rsidP="008F0743">
            <w:pPr>
              <w:pStyle w:val="Default"/>
              <w:spacing w:after="120"/>
              <w:rPr>
                <w:bCs/>
                <w:color w:val="auto"/>
                <w:sz w:val="20"/>
                <w:szCs w:val="20"/>
              </w:rPr>
            </w:pPr>
            <w:r w:rsidRPr="008F0743">
              <w:rPr>
                <w:bCs/>
                <w:sz w:val="20"/>
                <w:szCs w:val="20"/>
              </w:rPr>
              <w:t>Consistent with mission, expected outcomes, and supporting strategies, accounting degree programs include learning experiences that develop skills and knowledge related to the integration of information technology in accounting and</w:t>
            </w:r>
            <w:r w:rsidRPr="008F0743">
              <w:rPr>
                <w:sz w:val="20"/>
                <w:szCs w:val="20"/>
              </w:rPr>
              <w:t xml:space="preserve"> </w:t>
            </w:r>
            <w:r w:rsidRPr="008F0743">
              <w:rPr>
                <w:bCs/>
                <w:color w:val="auto"/>
                <w:sz w:val="20"/>
                <w:szCs w:val="20"/>
              </w:rPr>
              <w:t xml:space="preserve">business. Included in these learning experiences is the development of skills and knowledge related to data creation, data sharing, data analytics, data mining, data reporting, and storage within and across organizations. </w:t>
            </w:r>
          </w:p>
        </w:tc>
        <w:tc>
          <w:tcPr>
            <w:tcW w:w="7025" w:type="dxa"/>
          </w:tcPr>
          <w:p w:rsidR="00702866" w:rsidRPr="008F0743" w:rsidRDefault="00702866" w:rsidP="008F0743">
            <w:pPr>
              <w:spacing w:after="120"/>
              <w:rPr>
                <w:rFonts w:ascii="Arial" w:hAnsi="Arial" w:cs="Arial"/>
                <w:bCs/>
                <w:sz w:val="20"/>
                <w:szCs w:val="20"/>
              </w:rPr>
            </w:pPr>
          </w:p>
        </w:tc>
      </w:tr>
      <w:tr w:rsidR="00702866" w:rsidRPr="008F0743" w:rsidTr="008F0743">
        <w:trPr>
          <w:trHeight w:val="629"/>
        </w:trPr>
        <w:tc>
          <w:tcPr>
            <w:tcW w:w="7015" w:type="dxa"/>
            <w:vAlign w:val="center"/>
          </w:tcPr>
          <w:p w:rsidR="00702866" w:rsidRPr="008F0743" w:rsidRDefault="00702866" w:rsidP="008F0743">
            <w:pPr>
              <w:pStyle w:val="EnvelopeReturn"/>
              <w:spacing w:after="120"/>
              <w:jc w:val="center"/>
              <w:rPr>
                <w:rFonts w:ascii="Arial" w:hAnsi="Arial" w:cs="Arial"/>
                <w:b/>
                <w:bCs/>
                <w:sz w:val="20"/>
              </w:rPr>
            </w:pPr>
            <w:r w:rsidRPr="008F0743">
              <w:rPr>
                <w:rFonts w:ascii="Arial" w:hAnsi="Arial" w:cs="Arial"/>
                <w:b/>
                <w:bCs/>
                <w:sz w:val="20"/>
              </w:rPr>
              <w:t>ACCOUNTING ACADEMIC AND PROFESSIONAL ENGAGEMENT AND PROFESSIONAL INTERACTIONS STANDARD</w:t>
            </w:r>
          </w:p>
        </w:tc>
        <w:tc>
          <w:tcPr>
            <w:tcW w:w="7025" w:type="dxa"/>
            <w:vAlign w:val="center"/>
          </w:tcPr>
          <w:p w:rsidR="00702866" w:rsidRPr="008F0743" w:rsidRDefault="00702866" w:rsidP="008F0743">
            <w:pPr>
              <w:spacing w:after="120"/>
              <w:jc w:val="center"/>
              <w:rPr>
                <w:rFonts w:ascii="Arial" w:hAnsi="Arial" w:cs="Arial"/>
                <w:b/>
                <w:bCs/>
                <w:sz w:val="20"/>
                <w:szCs w:val="20"/>
              </w:rPr>
            </w:pPr>
            <w:r w:rsidRPr="008F0743">
              <w:rPr>
                <w:rFonts w:ascii="Arial" w:hAnsi="Arial" w:cs="Arial"/>
                <w:b/>
                <w:bCs/>
                <w:sz w:val="20"/>
                <w:szCs w:val="20"/>
              </w:rPr>
              <w:t>QUESTIONS/COMMENTS</w:t>
            </w:r>
          </w:p>
        </w:tc>
      </w:tr>
      <w:tr w:rsidR="00702866" w:rsidRPr="008F0743" w:rsidTr="008F0743">
        <w:trPr>
          <w:trHeight w:val="1440"/>
        </w:trPr>
        <w:tc>
          <w:tcPr>
            <w:tcW w:w="7015" w:type="dxa"/>
          </w:tcPr>
          <w:p w:rsidR="008F0743" w:rsidRDefault="0008234C" w:rsidP="008F0743">
            <w:pPr>
              <w:pStyle w:val="EnvelopeReturn"/>
              <w:spacing w:after="120"/>
              <w:rPr>
                <w:rFonts w:ascii="Arial" w:hAnsi="Arial" w:cs="Arial"/>
                <w:bCs/>
                <w:sz w:val="20"/>
              </w:rPr>
            </w:pPr>
            <w:r w:rsidRPr="008F0743">
              <w:rPr>
                <w:rFonts w:ascii="Arial" w:hAnsi="Arial" w:cs="Arial"/>
                <w:bCs/>
                <w:sz w:val="20"/>
              </w:rPr>
              <w:t>A</w:t>
            </w:r>
            <w:r w:rsidR="00321DB1" w:rsidRPr="008F0743">
              <w:rPr>
                <w:rFonts w:ascii="Arial" w:hAnsi="Arial" w:cs="Arial"/>
                <w:bCs/>
                <w:sz w:val="20"/>
              </w:rPr>
              <w:t>6</w:t>
            </w:r>
            <w:r w:rsidRPr="008F0743">
              <w:rPr>
                <w:rFonts w:ascii="Arial" w:hAnsi="Arial" w:cs="Arial"/>
                <w:bCs/>
                <w:sz w:val="20"/>
              </w:rPr>
              <w:t>.</w:t>
            </w:r>
            <w:r w:rsidR="00702866" w:rsidRPr="008F0743">
              <w:rPr>
                <w:rFonts w:ascii="Arial" w:hAnsi="Arial" w:cs="Arial"/>
                <w:bCs/>
                <w:sz w:val="20"/>
              </w:rPr>
              <w:t xml:space="preserve"> </w:t>
            </w:r>
            <w:r w:rsidR="00321DB1" w:rsidRPr="008F0743">
              <w:rPr>
                <w:rFonts w:ascii="Arial" w:hAnsi="Arial" w:cs="Arial"/>
                <w:bCs/>
                <w:sz w:val="20"/>
                <w:u w:val="single"/>
              </w:rPr>
              <w:t>Accounting F</w:t>
            </w:r>
            <w:r w:rsidR="00C9128F" w:rsidRPr="008F0743">
              <w:rPr>
                <w:rFonts w:ascii="Arial" w:hAnsi="Arial" w:cs="Arial"/>
                <w:bCs/>
                <w:sz w:val="20"/>
                <w:u w:val="single"/>
              </w:rPr>
              <w:t xml:space="preserve">aculty </w:t>
            </w:r>
            <w:r w:rsidR="00321DB1" w:rsidRPr="008F0743">
              <w:rPr>
                <w:rFonts w:ascii="Arial" w:hAnsi="Arial" w:cs="Arial"/>
                <w:bCs/>
                <w:sz w:val="20"/>
                <w:u w:val="single"/>
              </w:rPr>
              <w:t xml:space="preserve">Sufficiency, Credentials, </w:t>
            </w:r>
            <w:r w:rsidR="008F0743" w:rsidRPr="008F0743">
              <w:rPr>
                <w:rFonts w:ascii="Arial" w:hAnsi="Arial" w:cs="Arial"/>
                <w:bCs/>
                <w:sz w:val="20"/>
                <w:u w:val="single"/>
              </w:rPr>
              <w:t>Qualification</w:t>
            </w:r>
            <w:r w:rsidR="00C9128F" w:rsidRPr="008F0743">
              <w:rPr>
                <w:rFonts w:ascii="Arial" w:hAnsi="Arial" w:cs="Arial"/>
                <w:bCs/>
                <w:sz w:val="20"/>
                <w:u w:val="single"/>
              </w:rPr>
              <w:t>s</w:t>
            </w:r>
            <w:r w:rsidR="008F0743" w:rsidRPr="008F0743">
              <w:rPr>
                <w:rFonts w:ascii="Arial" w:hAnsi="Arial" w:cs="Arial"/>
                <w:bCs/>
                <w:sz w:val="20"/>
                <w:u w:val="single"/>
              </w:rPr>
              <w:t xml:space="preserve"> and Deployment</w:t>
            </w:r>
            <w:r w:rsidR="00C9128F" w:rsidRPr="008F0743">
              <w:rPr>
                <w:rFonts w:ascii="Arial" w:hAnsi="Arial" w:cs="Arial"/>
                <w:bCs/>
                <w:sz w:val="20"/>
              </w:rPr>
              <w:br/>
            </w:r>
            <w:r w:rsidR="00C9128F" w:rsidRPr="008F0743">
              <w:rPr>
                <w:rFonts w:ascii="Arial" w:hAnsi="Arial" w:cs="Arial"/>
                <w:sz w:val="20"/>
              </w:rPr>
              <w:t>(Related Business Standard</w:t>
            </w:r>
            <w:r w:rsidR="008F0743" w:rsidRPr="008F0743">
              <w:rPr>
                <w:rFonts w:ascii="Arial" w:hAnsi="Arial" w:cs="Arial"/>
                <w:sz w:val="20"/>
              </w:rPr>
              <w:t>s</w:t>
            </w:r>
            <w:r w:rsidR="00C9128F" w:rsidRPr="008F0743">
              <w:rPr>
                <w:rFonts w:ascii="Arial" w:hAnsi="Arial" w:cs="Arial"/>
                <w:sz w:val="20"/>
              </w:rPr>
              <w:t xml:space="preserve">: </w:t>
            </w:r>
            <w:r w:rsidR="008F0743" w:rsidRPr="008F0743">
              <w:rPr>
                <w:rFonts w:ascii="Arial" w:hAnsi="Arial" w:cs="Arial"/>
                <w:bCs/>
                <w:sz w:val="20"/>
              </w:rPr>
              <w:t xml:space="preserve">Standard 5 and </w:t>
            </w:r>
            <w:r w:rsidR="008F0743" w:rsidRPr="008F0743">
              <w:rPr>
                <w:rFonts w:ascii="Arial" w:hAnsi="Arial" w:cs="Arial"/>
                <w:bCs/>
                <w:sz w:val="20"/>
              </w:rPr>
              <w:t>Standard 15</w:t>
            </w:r>
            <w:r w:rsidR="00C9128F" w:rsidRPr="008F0743">
              <w:rPr>
                <w:rFonts w:ascii="Arial" w:hAnsi="Arial" w:cs="Arial"/>
                <w:sz w:val="20"/>
              </w:rPr>
              <w:t>)</w:t>
            </w:r>
          </w:p>
          <w:p w:rsidR="00702866" w:rsidRPr="008F0743" w:rsidRDefault="00702866" w:rsidP="008F0743">
            <w:pPr>
              <w:pStyle w:val="EnvelopeReturn"/>
              <w:spacing w:after="120"/>
              <w:rPr>
                <w:rFonts w:ascii="Arial" w:hAnsi="Arial" w:cs="Arial"/>
                <w:bCs/>
                <w:sz w:val="20"/>
              </w:rPr>
            </w:pPr>
            <w:r w:rsidRPr="008F0743">
              <w:rPr>
                <w:rFonts w:ascii="Arial" w:hAnsi="Arial" w:cs="Arial"/>
                <w:bCs/>
                <w:sz w:val="20"/>
              </w:rPr>
              <w:t xml:space="preserve">The accounting academic unit’s faculty, as a whole, includes a sufficient number of individuals with professional accounting credentials, qualifications, certifications, and professional experience, and the unit deploys these individuals in ways that are consistent with the unit’s mission, expected outcomes, and supporting strategies. </w:t>
            </w:r>
          </w:p>
          <w:p w:rsidR="008F0743" w:rsidRPr="008F0743" w:rsidRDefault="008F0743" w:rsidP="008F0743">
            <w:pPr>
              <w:pStyle w:val="EnvelopeReturn"/>
              <w:spacing w:after="120"/>
              <w:rPr>
                <w:rFonts w:ascii="Arial" w:hAnsi="Arial" w:cs="Arial"/>
                <w:bCs/>
                <w:sz w:val="20"/>
              </w:rPr>
            </w:pPr>
            <w:r w:rsidRPr="008F0743">
              <w:rPr>
                <w:rFonts w:ascii="Arial" w:hAnsi="Arial" w:cs="Arial"/>
                <w:bCs/>
                <w:sz w:val="20"/>
              </w:rPr>
              <w:t>The accounting academic unit maintains and strategically deploys participating and supporting faculty who collectively and individually demonstrate significant academic and professional engagement and professional interactions that sustain the intellectual capital necessary to support high-quality outcomes consistent with the school’s mission and strategies.</w:t>
            </w:r>
          </w:p>
        </w:tc>
        <w:tc>
          <w:tcPr>
            <w:tcW w:w="7025" w:type="dxa"/>
          </w:tcPr>
          <w:p w:rsidR="00702866" w:rsidRPr="008F0743" w:rsidRDefault="00702866" w:rsidP="008F0743">
            <w:pPr>
              <w:spacing w:after="120"/>
              <w:rPr>
                <w:rFonts w:ascii="Arial" w:hAnsi="Arial" w:cs="Arial"/>
                <w:bCs/>
                <w:sz w:val="20"/>
                <w:szCs w:val="20"/>
              </w:rPr>
            </w:pPr>
          </w:p>
        </w:tc>
      </w:tr>
    </w:tbl>
    <w:p w:rsidR="00A02BA3" w:rsidRPr="002E19BC" w:rsidRDefault="00A02BA3">
      <w:pPr>
        <w:rPr>
          <w:rFonts w:ascii="Arial" w:hAnsi="Arial" w:cs="Arial"/>
          <w:sz w:val="18"/>
          <w:szCs w:val="18"/>
        </w:rPr>
      </w:pPr>
    </w:p>
    <w:sectPr w:rsidR="00A02BA3" w:rsidRPr="002E19BC" w:rsidSect="000E478E">
      <w:headerReference w:type="default" r:id="rId7"/>
      <w:footerReference w:type="default" r:id="rId8"/>
      <w:pgSz w:w="15840" w:h="12240" w:orient="landscape"/>
      <w:pgMar w:top="720" w:right="100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866" w:rsidRDefault="00702866">
      <w:r>
        <w:separator/>
      </w:r>
    </w:p>
  </w:endnote>
  <w:endnote w:type="continuationSeparator" w:id="0">
    <w:p w:rsidR="00702866" w:rsidRDefault="0070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66" w:rsidRPr="00A7671A" w:rsidRDefault="00A7671A" w:rsidP="00A7671A">
    <w:pPr>
      <w:pStyle w:val="Footer"/>
      <w:rPr>
        <w:rFonts w:ascii="Arial" w:hAnsi="Arial" w:cs="Arial"/>
        <w:sz w:val="20"/>
        <w:szCs w:val="20"/>
      </w:rPr>
    </w:pPr>
    <w:r w:rsidRPr="00A7671A">
      <w:rPr>
        <w:rFonts w:ascii="Arial" w:hAnsi="Arial" w:cs="Arial"/>
        <w:sz w:val="16"/>
        <w:szCs w:val="16"/>
      </w:rPr>
      <w:t>AccreditationStandardsWorksheet_Acctg_v20180828</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702866" w:rsidRPr="00A7671A">
      <w:rPr>
        <w:rFonts w:ascii="Arial" w:hAnsi="Arial" w:cs="Arial"/>
        <w:sz w:val="20"/>
        <w:szCs w:val="20"/>
      </w:rPr>
      <w:t xml:space="preserve">Page </w:t>
    </w:r>
    <w:r w:rsidR="007C0C8A" w:rsidRPr="00A7671A">
      <w:rPr>
        <w:rStyle w:val="PageNumber"/>
        <w:rFonts w:ascii="Arial" w:hAnsi="Arial" w:cs="Arial"/>
        <w:sz w:val="20"/>
        <w:szCs w:val="20"/>
      </w:rPr>
      <w:fldChar w:fldCharType="begin"/>
    </w:r>
    <w:r w:rsidR="00702866" w:rsidRPr="00A7671A">
      <w:rPr>
        <w:rStyle w:val="PageNumber"/>
        <w:rFonts w:ascii="Arial" w:hAnsi="Arial" w:cs="Arial"/>
        <w:sz w:val="20"/>
        <w:szCs w:val="20"/>
      </w:rPr>
      <w:instrText xml:space="preserve"> PAGE </w:instrText>
    </w:r>
    <w:r w:rsidR="007C0C8A" w:rsidRPr="00A7671A">
      <w:rPr>
        <w:rStyle w:val="PageNumber"/>
        <w:rFonts w:ascii="Arial" w:hAnsi="Arial" w:cs="Arial"/>
        <w:sz w:val="20"/>
        <w:szCs w:val="20"/>
      </w:rPr>
      <w:fldChar w:fldCharType="separate"/>
    </w:r>
    <w:r>
      <w:rPr>
        <w:rStyle w:val="PageNumber"/>
        <w:rFonts w:ascii="Arial" w:hAnsi="Arial" w:cs="Arial"/>
        <w:noProof/>
        <w:sz w:val="20"/>
        <w:szCs w:val="20"/>
      </w:rPr>
      <w:t>2</w:t>
    </w:r>
    <w:r w:rsidR="007C0C8A" w:rsidRPr="00A7671A">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866" w:rsidRDefault="00702866">
      <w:r>
        <w:separator/>
      </w:r>
    </w:p>
  </w:footnote>
  <w:footnote w:type="continuationSeparator" w:id="0">
    <w:p w:rsidR="00702866" w:rsidRDefault="007028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66" w:rsidRPr="002E19BC" w:rsidRDefault="002E19BC" w:rsidP="00A8574D">
    <w:pPr>
      <w:pStyle w:val="Header"/>
      <w:jc w:val="center"/>
      <w:rPr>
        <w:rFonts w:ascii="Arial" w:hAnsi="Arial" w:cs="Arial"/>
        <w:b/>
        <w:sz w:val="32"/>
      </w:rPr>
    </w:pPr>
    <w:r w:rsidRPr="002E19BC">
      <w:rPr>
        <w:rFonts w:ascii="Arial" w:hAnsi="Arial" w:cs="Arial"/>
        <w:noProof/>
        <w:sz w:val="32"/>
      </w:rPr>
      <w:drawing>
        <wp:anchor distT="0" distB="0" distL="114300" distR="114300" simplePos="0" relativeHeight="251659776" behindDoc="1" locked="0" layoutInCell="1" allowOverlap="1" wp14:anchorId="3E3BCA4F" wp14:editId="16CD01AF">
          <wp:simplePos x="0" y="0"/>
          <wp:positionH relativeFrom="column">
            <wp:posOffset>7461850</wp:posOffset>
          </wp:positionH>
          <wp:positionV relativeFrom="paragraph">
            <wp:posOffset>-129395</wp:posOffset>
          </wp:positionV>
          <wp:extent cx="1708030" cy="546570"/>
          <wp:effectExtent l="0" t="0" r="6985" b="6350"/>
          <wp:wrapNone/>
          <wp:docPr id="3" name="Picture 3" descr="I:\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cts\Branding Committee\2 strategy_and_design_phase\JPG Logos\Excluding Tagline\AACSB-logo-primary-colo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8899" cy="550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866" w:rsidRPr="002E19BC">
      <w:rPr>
        <w:rFonts w:ascii="Arial" w:hAnsi="Arial" w:cs="Arial"/>
        <w:b/>
        <w:sz w:val="32"/>
      </w:rPr>
      <w:t xml:space="preserve">Accounting </w:t>
    </w:r>
    <w:r w:rsidR="00AC784D">
      <w:rPr>
        <w:rFonts w:ascii="Arial" w:hAnsi="Arial" w:cs="Arial"/>
        <w:b/>
        <w:sz w:val="32"/>
      </w:rPr>
      <w:t xml:space="preserve">Accreditation </w:t>
    </w:r>
    <w:r w:rsidR="00702866" w:rsidRPr="002E19BC">
      <w:rPr>
        <w:rFonts w:ascii="Arial" w:hAnsi="Arial" w:cs="Arial"/>
        <w:b/>
        <w:sz w:val="32"/>
      </w:rPr>
      <w:t>Standards Worksheet</w:t>
    </w:r>
  </w:p>
  <w:p w:rsidR="002E19BC" w:rsidRDefault="002E19BC" w:rsidP="00A8574D">
    <w:pPr>
      <w:pStyle w:val="Header"/>
      <w:jc w:val="center"/>
      <w:rPr>
        <w:rFonts w:ascii="Arial" w:hAnsi="Arial" w:cs="Arial"/>
        <w:b/>
      </w:rPr>
    </w:pPr>
  </w:p>
  <w:p w:rsidR="002E19BC" w:rsidRPr="00F8416B" w:rsidRDefault="002E19BC" w:rsidP="00A8574D">
    <w:pPr>
      <w:pStyle w:val="Header"/>
      <w:jc w:val="center"/>
      <w:rPr>
        <w:rFonts w:ascii="Arial" w:hAnsi="Arial" w:cs="Arial"/>
        <w:b/>
      </w:rPr>
    </w:pPr>
  </w:p>
  <w:p w:rsidR="00702866" w:rsidRDefault="007028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E74"/>
    <w:multiLevelType w:val="hybridMultilevel"/>
    <w:tmpl w:val="0F9AC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807B39"/>
    <w:multiLevelType w:val="hybridMultilevel"/>
    <w:tmpl w:val="0E88E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A2803"/>
    <w:multiLevelType w:val="multilevel"/>
    <w:tmpl w:val="6BBEEFD8"/>
    <w:lvl w:ilvl="0">
      <w:start w:val="2"/>
      <w:numFmt w:val="decimal"/>
      <w:lvlText w:val="%1"/>
      <w:lvlJc w:val="left"/>
      <w:pPr>
        <w:tabs>
          <w:tab w:val="num" w:pos="540"/>
        </w:tabs>
        <w:ind w:left="540" w:hanging="540"/>
      </w:pPr>
      <w:rPr>
        <w:rFonts w:hint="default"/>
      </w:rPr>
    </w:lvl>
    <w:lvl w:ilvl="1">
      <w:start w:val="1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A62ADA"/>
    <w:multiLevelType w:val="multilevel"/>
    <w:tmpl w:val="75DAB3F0"/>
    <w:lvl w:ilvl="0">
      <w:start w:val="2"/>
      <w:numFmt w:val="decimal"/>
      <w:lvlText w:val="%1"/>
      <w:lvlJc w:val="left"/>
      <w:pPr>
        <w:tabs>
          <w:tab w:val="num" w:pos="540"/>
        </w:tabs>
        <w:ind w:left="540" w:hanging="540"/>
      </w:pPr>
      <w:rPr>
        <w:rFonts w:hint="default"/>
        <w:u w:val="none"/>
      </w:rPr>
    </w:lvl>
    <w:lvl w:ilvl="1">
      <w:start w:val="31"/>
      <w:numFmt w:val="decimal"/>
      <w:lvlText w:val="%1.%2"/>
      <w:lvlJc w:val="left"/>
      <w:pPr>
        <w:tabs>
          <w:tab w:val="num" w:pos="540"/>
        </w:tabs>
        <w:ind w:left="540" w:hanging="54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15:restartNumberingAfterBreak="0">
    <w:nsid w:val="3C1F292E"/>
    <w:multiLevelType w:val="hybridMultilevel"/>
    <w:tmpl w:val="1C184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550BE"/>
    <w:multiLevelType w:val="hybridMultilevel"/>
    <w:tmpl w:val="D6180672"/>
    <w:lvl w:ilvl="0" w:tplc="0409000F">
      <w:start w:val="3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680744"/>
    <w:multiLevelType w:val="multilevel"/>
    <w:tmpl w:val="BCD49CFE"/>
    <w:lvl w:ilvl="0">
      <w:start w:val="2"/>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1207AA"/>
    <w:multiLevelType w:val="hybridMultilevel"/>
    <w:tmpl w:val="6DCA5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8D624C"/>
    <w:multiLevelType w:val="hybridMultilevel"/>
    <w:tmpl w:val="86C0D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AD1C35"/>
    <w:multiLevelType w:val="hybridMultilevel"/>
    <w:tmpl w:val="64F21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12DF0"/>
    <w:multiLevelType w:val="hybridMultilevel"/>
    <w:tmpl w:val="07D83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85374D"/>
    <w:multiLevelType w:val="hybridMultilevel"/>
    <w:tmpl w:val="74627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826FA0"/>
    <w:multiLevelType w:val="hybridMultilevel"/>
    <w:tmpl w:val="ABCC4BE0"/>
    <w:lvl w:ilvl="0" w:tplc="602E3A84">
      <w:start w:val="10"/>
      <w:numFmt w:val="decimal"/>
      <w:lvlText w:val="%1:"/>
      <w:lvlJc w:val="left"/>
      <w:pPr>
        <w:tabs>
          <w:tab w:val="num" w:pos="2880"/>
        </w:tabs>
        <w:ind w:left="288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E64E3A">
      <w:start w:val="10"/>
      <w:numFmt w:val="none"/>
      <w:lvlText w:val="39:"/>
      <w:lvlJc w:val="left"/>
      <w:pPr>
        <w:tabs>
          <w:tab w:val="num" w:pos="360"/>
        </w:tabs>
        <w:ind w:left="36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471C53CE">
      <w:start w:val="41"/>
      <w:numFmt w:val="decimal"/>
      <w:lvlText w:val="%6."/>
      <w:lvlJc w:val="left"/>
      <w:pPr>
        <w:tabs>
          <w:tab w:val="num" w:pos="4380"/>
        </w:tabs>
        <w:ind w:left="4380" w:hanging="420"/>
      </w:pPr>
      <w:rPr>
        <w:rFonts w:hint="default"/>
        <w:u w:val="none"/>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5A24D8"/>
    <w:multiLevelType w:val="hybridMultilevel"/>
    <w:tmpl w:val="613CB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3770D5"/>
    <w:multiLevelType w:val="hybridMultilevel"/>
    <w:tmpl w:val="C9AA1AB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CD603A8"/>
    <w:multiLevelType w:val="hybridMultilevel"/>
    <w:tmpl w:val="03B6A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5"/>
  </w:num>
  <w:num w:numId="5">
    <w:abstractNumId w:val="6"/>
  </w:num>
  <w:num w:numId="6">
    <w:abstractNumId w:val="1"/>
  </w:num>
  <w:num w:numId="7">
    <w:abstractNumId w:val="8"/>
  </w:num>
  <w:num w:numId="8">
    <w:abstractNumId w:val="9"/>
  </w:num>
  <w:num w:numId="9">
    <w:abstractNumId w:val="7"/>
  </w:num>
  <w:num w:numId="10">
    <w:abstractNumId w:val="13"/>
  </w:num>
  <w:num w:numId="11">
    <w:abstractNumId w:val="11"/>
  </w:num>
  <w:num w:numId="12">
    <w:abstractNumId w:val="14"/>
  </w:num>
  <w:num w:numId="13">
    <w:abstractNumId w:val="3"/>
  </w:num>
  <w:num w:numId="14">
    <w:abstractNumId w:val="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4D"/>
    <w:rsid w:val="00023D9E"/>
    <w:rsid w:val="00045282"/>
    <w:rsid w:val="0008234C"/>
    <w:rsid w:val="000E478E"/>
    <w:rsid w:val="00121A20"/>
    <w:rsid w:val="002E19BC"/>
    <w:rsid w:val="00321DB1"/>
    <w:rsid w:val="00543265"/>
    <w:rsid w:val="00702866"/>
    <w:rsid w:val="00786562"/>
    <w:rsid w:val="007C0C8A"/>
    <w:rsid w:val="008F0743"/>
    <w:rsid w:val="00975BD0"/>
    <w:rsid w:val="00A02BA3"/>
    <w:rsid w:val="00A12722"/>
    <w:rsid w:val="00A7671A"/>
    <w:rsid w:val="00A8574D"/>
    <w:rsid w:val="00AC784D"/>
    <w:rsid w:val="00C9128F"/>
    <w:rsid w:val="00DD085C"/>
    <w:rsid w:val="00DE4D20"/>
    <w:rsid w:val="00F8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4FCE64"/>
  <w15:docId w15:val="{56BF97AC-E559-4113-9F9C-E6A93DE3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78E"/>
    <w:rPr>
      <w:sz w:val="24"/>
      <w:szCs w:val="24"/>
    </w:rPr>
  </w:style>
  <w:style w:type="paragraph" w:styleId="Heading1">
    <w:name w:val="heading 1"/>
    <w:basedOn w:val="Normal"/>
    <w:next w:val="Normal"/>
    <w:qFormat/>
    <w:rsid w:val="000E478E"/>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E478E"/>
    <w:pPr>
      <w:tabs>
        <w:tab w:val="left" w:pos="630"/>
        <w:tab w:val="left" w:pos="720"/>
      </w:tabs>
    </w:pPr>
    <w:rPr>
      <w:b/>
      <w:bCs/>
      <w:szCs w:val="20"/>
    </w:rPr>
  </w:style>
  <w:style w:type="paragraph" w:styleId="EnvelopeReturn">
    <w:name w:val="envelope return"/>
    <w:basedOn w:val="Normal"/>
    <w:rsid w:val="000E478E"/>
    <w:rPr>
      <w:szCs w:val="20"/>
    </w:rPr>
  </w:style>
  <w:style w:type="paragraph" w:styleId="BodyText">
    <w:name w:val="Body Text"/>
    <w:basedOn w:val="Normal"/>
    <w:rsid w:val="000E478E"/>
    <w:pPr>
      <w:jc w:val="both"/>
    </w:pPr>
    <w:rPr>
      <w:szCs w:val="20"/>
    </w:rPr>
  </w:style>
  <w:style w:type="paragraph" w:styleId="Header">
    <w:name w:val="header"/>
    <w:basedOn w:val="Normal"/>
    <w:rsid w:val="00A8574D"/>
    <w:pPr>
      <w:tabs>
        <w:tab w:val="center" w:pos="4320"/>
        <w:tab w:val="right" w:pos="8640"/>
      </w:tabs>
    </w:pPr>
  </w:style>
  <w:style w:type="paragraph" w:styleId="Footer">
    <w:name w:val="footer"/>
    <w:basedOn w:val="Normal"/>
    <w:rsid w:val="00A8574D"/>
    <w:pPr>
      <w:tabs>
        <w:tab w:val="center" w:pos="4320"/>
        <w:tab w:val="right" w:pos="8640"/>
      </w:tabs>
    </w:pPr>
  </w:style>
  <w:style w:type="character" w:styleId="PageNumber">
    <w:name w:val="page number"/>
    <w:basedOn w:val="DefaultParagraphFont"/>
    <w:rsid w:val="00A8574D"/>
  </w:style>
  <w:style w:type="paragraph" w:customStyle="1" w:styleId="Default">
    <w:name w:val="Default"/>
    <w:rsid w:val="0070286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21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634</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Standards Worksheet - Accounting</vt:lpstr>
    </vt:vector>
  </TitlesOfParts>
  <Company>BABSON COLLEGE</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Worksheet - Accounting</dc:title>
  <dc:creator>Babson College</dc:creator>
  <cp:lastModifiedBy>Barb Higel</cp:lastModifiedBy>
  <cp:revision>3</cp:revision>
  <cp:lastPrinted>2013-04-09T13:09:00Z</cp:lastPrinted>
  <dcterms:created xsi:type="dcterms:W3CDTF">2018-08-29T00:08:00Z</dcterms:created>
  <dcterms:modified xsi:type="dcterms:W3CDTF">2018-08-29T00:43:00Z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-311211151</vt:i4>
  </property>
  <property fmtid="{D5CDD505-2E9C-101B-9397-08002B2CF9AE}" pid="3" name="_EmailSubject">
    <vt:lpwstr>3rd set of docs</vt:lpwstr>
  </property>
  <property fmtid="{D5CDD505-2E9C-101B-9397-08002B2CF9AE}" pid="4" name="_AuthorEmail">
    <vt:lpwstr>jenn@aacsb.edu</vt:lpwstr>
  </property>
  <property fmtid="{D5CDD505-2E9C-101B-9397-08002B2CF9AE}" pid="5" name="_AuthorEmailDisplayName">
    <vt:lpwstr>Jennifer George Lion</vt:lpwstr>
  </property>
  <property fmtid="{D5CDD505-2E9C-101B-9397-08002B2CF9AE}" pid="6" name="_PreviousAdHocReviewCycleID">
    <vt:i4>-1518931448</vt:i4>
  </property>
  <property fmtid="{D5CDD505-2E9C-101B-9397-08002B2CF9AE}" pid="7" name="_ReviewingToolsShownOnce">
    <vt:lpwstr/>
  </property>
</Properties>
</file>