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1868" w14:textId="77777777" w:rsidR="001371EF" w:rsidRDefault="001371EF" w:rsidP="001371EF">
      <w:pPr>
        <w:spacing w:after="0" w:line="240" w:lineRule="auto"/>
        <w:ind w:left="399" w:right="511"/>
        <w:jc w:val="center"/>
        <w:rPr>
          <w:rFonts w:ascii="Arial" w:eastAsia="Arial" w:hAnsi="Arial" w:cs="Arial"/>
          <w:b/>
          <w:bCs/>
        </w:rPr>
      </w:pPr>
      <w:r w:rsidRPr="001371EF">
        <w:rPr>
          <w:rFonts w:ascii="Arial" w:eastAsia="Arial" w:hAnsi="Arial" w:cs="Arial"/>
          <w:b/>
          <w:bCs/>
        </w:rPr>
        <w:t xml:space="preserve">Sample </w:t>
      </w:r>
      <w:r w:rsidR="003736C6" w:rsidRPr="001371EF">
        <w:rPr>
          <w:rFonts w:ascii="Arial" w:eastAsia="Arial" w:hAnsi="Arial" w:cs="Arial"/>
          <w:b/>
          <w:bCs/>
        </w:rPr>
        <w:t xml:space="preserve">Table 9-1: Outcomes of Societal Impact Activities and </w:t>
      </w:r>
    </w:p>
    <w:p w14:paraId="5B7FA600" w14:textId="7E442C4A" w:rsidR="001371EF" w:rsidRPr="001371EF" w:rsidRDefault="003736C6" w:rsidP="001371EF">
      <w:pPr>
        <w:spacing w:after="0" w:line="240" w:lineRule="auto"/>
        <w:ind w:left="399" w:right="511"/>
        <w:jc w:val="center"/>
        <w:rPr>
          <w:rFonts w:ascii="Arial" w:eastAsia="Arial" w:hAnsi="Arial" w:cs="Arial"/>
          <w:b/>
          <w:bCs/>
        </w:rPr>
      </w:pPr>
      <w:r w:rsidRPr="001371EF">
        <w:rPr>
          <w:rFonts w:ascii="Arial" w:eastAsia="Arial" w:hAnsi="Arial" w:cs="Arial"/>
          <w:b/>
          <w:bCs/>
        </w:rPr>
        <w:t>Initiatives Across all</w:t>
      </w:r>
      <w:r w:rsidR="001371EF">
        <w:rPr>
          <w:rFonts w:ascii="Arial" w:eastAsia="Arial" w:hAnsi="Arial" w:cs="Arial"/>
          <w:b/>
          <w:bCs/>
        </w:rPr>
        <w:t xml:space="preserve"> </w:t>
      </w:r>
      <w:r w:rsidRPr="001371EF">
        <w:rPr>
          <w:rFonts w:ascii="Arial" w:eastAsia="Arial" w:hAnsi="Arial" w:cs="Arial"/>
          <w:b/>
          <w:bCs/>
        </w:rPr>
        <w:t>Areas of the</w:t>
      </w:r>
      <w:r w:rsidR="001371EF" w:rsidRPr="001371EF">
        <w:rPr>
          <w:rFonts w:ascii="Arial" w:eastAsia="Arial" w:hAnsi="Arial" w:cs="Arial"/>
          <w:b/>
          <w:bCs/>
        </w:rPr>
        <w:t xml:space="preserve"> </w:t>
      </w:r>
      <w:r w:rsidRPr="001371EF">
        <w:rPr>
          <w:rFonts w:ascii="Arial" w:eastAsia="Arial" w:hAnsi="Arial" w:cs="Arial"/>
          <w:b/>
          <w:bCs/>
        </w:rPr>
        <w:t xml:space="preserve">Standards </w:t>
      </w:r>
    </w:p>
    <w:p w14:paraId="5EE1A3A7" w14:textId="77777777" w:rsidR="001371EF" w:rsidRDefault="001371EF" w:rsidP="001371EF">
      <w:pPr>
        <w:spacing w:after="0" w:line="240" w:lineRule="auto"/>
        <w:jc w:val="center"/>
        <w:rPr>
          <w:rFonts w:ascii="Arial" w:eastAsia="Arial" w:hAnsi="Arial" w:cs="Arial"/>
          <w:b/>
          <w:bCs/>
        </w:rPr>
      </w:pPr>
    </w:p>
    <w:p w14:paraId="550BAB85" w14:textId="11502AB1" w:rsidR="001371EF" w:rsidRPr="001371EF" w:rsidRDefault="001371EF" w:rsidP="001371EF">
      <w:pPr>
        <w:spacing w:after="0" w:line="240" w:lineRule="auto"/>
        <w:jc w:val="center"/>
        <w:rPr>
          <w:rFonts w:ascii="Arial" w:eastAsia="Arial" w:hAnsi="Arial" w:cs="Arial"/>
          <w:b/>
          <w:bCs/>
        </w:rPr>
      </w:pPr>
      <w:r w:rsidRPr="001371EF">
        <w:rPr>
          <w:rFonts w:ascii="Arial" w:eastAsia="Arial" w:hAnsi="Arial" w:cs="Arial"/>
          <w:b/>
          <w:bCs/>
        </w:rPr>
        <w:t>Example 1</w:t>
      </w:r>
    </w:p>
    <w:p w14:paraId="01D29C94" w14:textId="6BDBC5D1" w:rsidR="001371EF" w:rsidRDefault="001371EF" w:rsidP="001371EF">
      <w:pPr>
        <w:spacing w:after="0" w:line="240" w:lineRule="auto"/>
        <w:jc w:val="center"/>
        <w:rPr>
          <w:rFonts w:ascii="Arial" w:eastAsia="Arial" w:hAnsi="Arial" w:cs="Arial"/>
          <w:b/>
          <w:bCs/>
        </w:rPr>
      </w:pPr>
      <w:r w:rsidRPr="001371EF">
        <w:rPr>
          <w:rFonts w:ascii="Arial" w:eastAsia="Arial" w:hAnsi="Arial" w:cs="Arial"/>
          <w:b/>
          <w:bCs/>
        </w:rPr>
        <w:t>University of Pirsig School of Business</w:t>
      </w:r>
    </w:p>
    <w:p w14:paraId="6940C77A" w14:textId="77777777" w:rsidR="001371EF" w:rsidRPr="001371EF" w:rsidRDefault="001371EF" w:rsidP="001371EF">
      <w:pPr>
        <w:spacing w:after="0" w:line="240" w:lineRule="auto"/>
        <w:jc w:val="center"/>
        <w:rPr>
          <w:rFonts w:ascii="Arial" w:eastAsia="Arial" w:hAnsi="Arial" w:cs="Arial"/>
          <w:b/>
          <w:bCs/>
          <w:sz w:val="8"/>
          <w:szCs w:val="8"/>
        </w:rPr>
      </w:pPr>
    </w:p>
    <w:tbl>
      <w:tblPr>
        <w:tblW w:w="0" w:type="auto"/>
        <w:tblInd w:w="105" w:type="dxa"/>
        <w:tblLayout w:type="fixed"/>
        <w:tblCellMar>
          <w:left w:w="0" w:type="dxa"/>
          <w:right w:w="0" w:type="dxa"/>
        </w:tblCellMar>
        <w:tblLook w:val="01E0" w:firstRow="1" w:lastRow="1" w:firstColumn="1" w:lastColumn="1" w:noHBand="0" w:noVBand="0"/>
      </w:tblPr>
      <w:tblGrid>
        <w:gridCol w:w="2077"/>
        <w:gridCol w:w="1739"/>
        <w:gridCol w:w="34"/>
        <w:gridCol w:w="90"/>
        <w:gridCol w:w="1750"/>
        <w:gridCol w:w="2038"/>
        <w:gridCol w:w="1930"/>
      </w:tblGrid>
      <w:tr w:rsidR="003736C6" w:rsidRPr="003736C6" w14:paraId="3001D0FF" w14:textId="77777777" w:rsidTr="00BA7D9E">
        <w:trPr>
          <w:trHeight w:hRule="exact" w:val="1872"/>
        </w:trPr>
        <w:tc>
          <w:tcPr>
            <w:tcW w:w="2077" w:type="dxa"/>
            <w:tcBorders>
              <w:top w:val="single" w:sz="4" w:space="0" w:color="auto"/>
              <w:left w:val="single" w:sz="4" w:space="0" w:color="auto"/>
              <w:bottom w:val="single" w:sz="4" w:space="0" w:color="auto"/>
              <w:right w:val="single" w:sz="4" w:space="0" w:color="auto"/>
            </w:tcBorders>
            <w:shd w:val="clear" w:color="auto" w:fill="006E62" w:themeFill="accent1"/>
          </w:tcPr>
          <w:p w14:paraId="6FB882DA" w14:textId="77777777" w:rsidR="003736C6" w:rsidRPr="003736C6" w:rsidRDefault="003736C6" w:rsidP="000A38DE">
            <w:pPr>
              <w:spacing w:after="0" w:line="252" w:lineRule="exact"/>
              <w:ind w:left="215" w:right="196"/>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United Nations</w:t>
            </w:r>
          </w:p>
          <w:p w14:paraId="1480D990" w14:textId="77777777" w:rsidR="003736C6" w:rsidRPr="003736C6" w:rsidRDefault="003736C6" w:rsidP="000A38DE">
            <w:pPr>
              <w:spacing w:before="37" w:after="0"/>
              <w:ind w:left="318" w:right="298"/>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Sustainable Development Goal (SDG)</w:t>
            </w:r>
          </w:p>
        </w:tc>
        <w:tc>
          <w:tcPr>
            <w:tcW w:w="1773" w:type="dxa"/>
            <w:gridSpan w:val="2"/>
            <w:tcBorders>
              <w:top w:val="single" w:sz="4" w:space="0" w:color="auto"/>
              <w:left w:val="single" w:sz="4" w:space="0" w:color="auto"/>
              <w:bottom w:val="single" w:sz="4" w:space="0" w:color="auto"/>
              <w:right w:val="single" w:sz="4" w:space="0" w:color="auto"/>
            </w:tcBorders>
            <w:shd w:val="clear" w:color="auto" w:fill="006E62" w:themeFill="accent1"/>
          </w:tcPr>
          <w:p w14:paraId="6004CBFA" w14:textId="77777777" w:rsidR="003736C6" w:rsidRPr="003736C6" w:rsidRDefault="003736C6" w:rsidP="000A38DE">
            <w:pPr>
              <w:spacing w:after="0" w:line="252" w:lineRule="exact"/>
              <w:ind w:left="429" w:right="362"/>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Societal</w:t>
            </w:r>
          </w:p>
          <w:p w14:paraId="30285072" w14:textId="33121FD8" w:rsidR="003736C6" w:rsidRPr="003736C6" w:rsidRDefault="003736C6" w:rsidP="003736C6">
            <w:pPr>
              <w:jc w:val="center"/>
              <w:rPr>
                <w:color w:val="FFFFFF" w:themeColor="background1"/>
                <w:sz w:val="20"/>
                <w:szCs w:val="20"/>
              </w:rPr>
            </w:pPr>
            <w:r w:rsidRPr="003736C6">
              <w:rPr>
                <w:rFonts w:ascii="Arial" w:eastAsia="Arial" w:hAnsi="Arial" w:cs="Arial"/>
                <w:b/>
                <w:bCs/>
                <w:color w:val="FFFFFF" w:themeColor="background1"/>
                <w:sz w:val="20"/>
                <w:szCs w:val="20"/>
              </w:rPr>
              <w:t>Impact Strategy (Standard 1)</w:t>
            </w:r>
          </w:p>
        </w:tc>
        <w:tc>
          <w:tcPr>
            <w:tcW w:w="1840" w:type="dxa"/>
            <w:gridSpan w:val="2"/>
            <w:tcBorders>
              <w:top w:val="single" w:sz="4" w:space="0" w:color="auto"/>
              <w:left w:val="single" w:sz="4" w:space="0" w:color="auto"/>
              <w:bottom w:val="single" w:sz="4" w:space="0" w:color="auto"/>
              <w:right w:val="single" w:sz="4" w:space="0" w:color="auto"/>
            </w:tcBorders>
            <w:shd w:val="clear" w:color="auto" w:fill="006E62" w:themeFill="accent1"/>
          </w:tcPr>
          <w:p w14:paraId="15A304E0" w14:textId="77777777" w:rsidR="003736C6" w:rsidRPr="003736C6" w:rsidRDefault="003736C6" w:rsidP="000A38DE">
            <w:pPr>
              <w:spacing w:after="0" w:line="252" w:lineRule="exact"/>
              <w:ind w:left="272" w:right="304"/>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29FEC896" w14:textId="77777777" w:rsidR="003736C6" w:rsidRPr="003736C6" w:rsidRDefault="003736C6" w:rsidP="000A38DE">
            <w:pPr>
              <w:spacing w:before="37" w:after="0"/>
              <w:ind w:left="185" w:right="218"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Curriculum (Standard 4)</w:t>
            </w:r>
          </w:p>
        </w:tc>
        <w:tc>
          <w:tcPr>
            <w:tcW w:w="2038" w:type="dxa"/>
            <w:tcBorders>
              <w:top w:val="single" w:sz="4" w:space="0" w:color="auto"/>
              <w:left w:val="single" w:sz="4" w:space="0" w:color="auto"/>
              <w:bottom w:val="single" w:sz="4" w:space="0" w:color="auto"/>
              <w:right w:val="single" w:sz="4" w:space="0" w:color="auto"/>
            </w:tcBorders>
            <w:shd w:val="clear" w:color="auto" w:fill="006E62" w:themeFill="accent1"/>
          </w:tcPr>
          <w:p w14:paraId="2E61F9B6" w14:textId="77777777" w:rsidR="003736C6" w:rsidRPr="003736C6" w:rsidRDefault="003736C6" w:rsidP="000A38DE">
            <w:pPr>
              <w:spacing w:after="0" w:line="252" w:lineRule="exact"/>
              <w:ind w:left="434" w:right="414"/>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7FB57F13" w14:textId="77777777" w:rsidR="003736C6" w:rsidRPr="003736C6" w:rsidRDefault="003736C6" w:rsidP="000A38DE">
            <w:pPr>
              <w:spacing w:before="37" w:after="0"/>
              <w:ind w:left="347" w:right="329"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Scholarship (Standard 8)</w:t>
            </w:r>
          </w:p>
        </w:tc>
        <w:tc>
          <w:tcPr>
            <w:tcW w:w="1930" w:type="dxa"/>
            <w:tcBorders>
              <w:top w:val="single" w:sz="4" w:space="0" w:color="auto"/>
              <w:left w:val="single" w:sz="4" w:space="0" w:color="auto"/>
              <w:bottom w:val="single" w:sz="4" w:space="0" w:color="auto"/>
              <w:right w:val="single" w:sz="4" w:space="0" w:color="auto"/>
            </w:tcBorders>
            <w:shd w:val="clear" w:color="auto" w:fill="006E62" w:themeFill="accent1"/>
          </w:tcPr>
          <w:p w14:paraId="70D8F270" w14:textId="77777777" w:rsidR="003736C6" w:rsidRPr="003736C6" w:rsidRDefault="003736C6" w:rsidP="000A38DE">
            <w:pPr>
              <w:spacing w:after="0" w:line="252" w:lineRule="exact"/>
              <w:ind w:left="380" w:right="360"/>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4DD99A50" w14:textId="77777777" w:rsidR="003736C6" w:rsidRPr="003736C6" w:rsidRDefault="003736C6" w:rsidP="000A38DE">
            <w:pPr>
              <w:spacing w:before="37" w:after="0"/>
              <w:ind w:left="141" w:right="123"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Internal and External Initiatives and/or Activities (Standard 9)</w:t>
            </w:r>
          </w:p>
        </w:tc>
      </w:tr>
      <w:tr w:rsidR="001371EF" w14:paraId="62784EF0" w14:textId="77777777" w:rsidTr="001371EF">
        <w:trPr>
          <w:trHeight w:hRule="exact" w:val="3212"/>
        </w:trPr>
        <w:tc>
          <w:tcPr>
            <w:tcW w:w="2077" w:type="dxa"/>
            <w:tcBorders>
              <w:top w:val="single" w:sz="4" w:space="0" w:color="auto"/>
              <w:left w:val="single" w:sz="8" w:space="0" w:color="000000"/>
              <w:bottom w:val="single" w:sz="8" w:space="0" w:color="000000"/>
              <w:right w:val="single" w:sz="8" w:space="0" w:color="000000"/>
            </w:tcBorders>
          </w:tcPr>
          <w:p w14:paraId="50BB899F" w14:textId="77777777" w:rsidR="001371EF" w:rsidRPr="001371EF" w:rsidRDefault="001371EF" w:rsidP="001371EF">
            <w:pPr>
              <w:spacing w:after="0" w:line="251" w:lineRule="exact"/>
              <w:ind w:left="97" w:right="-20"/>
              <w:rPr>
                <w:rFonts w:eastAsia="Arial" w:cstheme="minorHAnsi"/>
                <w:sz w:val="20"/>
                <w:szCs w:val="20"/>
              </w:rPr>
            </w:pPr>
            <w:r w:rsidRPr="001371EF">
              <w:rPr>
                <w:rFonts w:eastAsia="Arial" w:cstheme="minorHAnsi"/>
                <w:sz w:val="20"/>
                <w:szCs w:val="20"/>
              </w:rPr>
              <w:t>1 – No Poverty</w:t>
            </w:r>
          </w:p>
        </w:tc>
        <w:tc>
          <w:tcPr>
            <w:tcW w:w="1739" w:type="dxa"/>
            <w:tcBorders>
              <w:top w:val="single" w:sz="4" w:space="0" w:color="auto"/>
              <w:left w:val="single" w:sz="8" w:space="0" w:color="000000"/>
              <w:bottom w:val="single" w:sz="8" w:space="0" w:color="000000"/>
              <w:right w:val="nil"/>
            </w:tcBorders>
          </w:tcPr>
          <w:p w14:paraId="459B8170" w14:textId="79ACCE7D" w:rsidR="001371EF" w:rsidRPr="001371EF" w:rsidRDefault="001371EF" w:rsidP="001371EF">
            <w:pPr>
              <w:rPr>
                <w:rFonts w:cstheme="minorHAnsi"/>
                <w:sz w:val="20"/>
                <w:szCs w:val="20"/>
              </w:rPr>
            </w:pPr>
            <w:r w:rsidRPr="001371EF">
              <w:rPr>
                <w:rFonts w:cstheme="minorHAnsi"/>
                <w:sz w:val="20"/>
                <w:szCs w:val="20"/>
              </w:rPr>
              <w:t>The school has chosen reduction of poverty for its area of societal impact. See strategic plan for details.</w:t>
            </w:r>
          </w:p>
        </w:tc>
        <w:tc>
          <w:tcPr>
            <w:tcW w:w="124" w:type="dxa"/>
            <w:gridSpan w:val="2"/>
            <w:tcBorders>
              <w:top w:val="single" w:sz="4" w:space="0" w:color="auto"/>
              <w:left w:val="nil"/>
              <w:bottom w:val="single" w:sz="8" w:space="0" w:color="000000"/>
              <w:right w:val="nil"/>
            </w:tcBorders>
            <w:shd w:val="clear" w:color="auto" w:fill="000000"/>
          </w:tcPr>
          <w:p w14:paraId="79C17602" w14:textId="77777777" w:rsidR="001371EF" w:rsidRPr="001371EF" w:rsidRDefault="001371EF" w:rsidP="001371EF">
            <w:pPr>
              <w:rPr>
                <w:rFonts w:cstheme="minorHAnsi"/>
                <w:sz w:val="20"/>
                <w:szCs w:val="20"/>
              </w:rPr>
            </w:pPr>
          </w:p>
        </w:tc>
        <w:tc>
          <w:tcPr>
            <w:tcW w:w="1750" w:type="dxa"/>
            <w:tcBorders>
              <w:top w:val="single" w:sz="4" w:space="0" w:color="auto"/>
              <w:left w:val="nil"/>
              <w:bottom w:val="single" w:sz="8" w:space="0" w:color="000000"/>
              <w:right w:val="single" w:sz="8" w:space="0" w:color="000000"/>
            </w:tcBorders>
          </w:tcPr>
          <w:p w14:paraId="7DB27B2C" w14:textId="77777777" w:rsidR="001371EF" w:rsidRPr="001371EF" w:rsidRDefault="001371EF" w:rsidP="001371EF">
            <w:pPr>
              <w:pStyle w:val="Default"/>
              <w:rPr>
                <w:sz w:val="20"/>
                <w:szCs w:val="20"/>
              </w:rPr>
            </w:pPr>
            <w:r w:rsidRPr="001371EF">
              <w:rPr>
                <w:sz w:val="20"/>
                <w:szCs w:val="20"/>
              </w:rPr>
              <w:t xml:space="preserve">300 students in past three </w:t>
            </w:r>
          </w:p>
          <w:p w14:paraId="0DD92025" w14:textId="17E9EF60" w:rsidR="001371EF" w:rsidRPr="001371EF" w:rsidRDefault="001371EF" w:rsidP="001371EF">
            <w:pPr>
              <w:rPr>
                <w:rFonts w:cstheme="minorHAnsi"/>
                <w:sz w:val="20"/>
                <w:szCs w:val="20"/>
              </w:rPr>
            </w:pPr>
            <w:r w:rsidRPr="001371EF">
              <w:rPr>
                <w:sz w:val="20"/>
                <w:szCs w:val="20"/>
              </w:rPr>
              <w:t xml:space="preserve">years have completed a service learning course in entrepreneurship and microfinance. Many of these students go on to participate in the KEY Challenge. </w:t>
            </w:r>
          </w:p>
        </w:tc>
        <w:tc>
          <w:tcPr>
            <w:tcW w:w="2038" w:type="dxa"/>
            <w:tcBorders>
              <w:top w:val="single" w:sz="4" w:space="0" w:color="auto"/>
              <w:left w:val="single" w:sz="8" w:space="0" w:color="000000"/>
              <w:bottom w:val="single" w:sz="8" w:space="0" w:color="000000"/>
              <w:right w:val="single" w:sz="8" w:space="0" w:color="000000"/>
            </w:tcBorders>
          </w:tcPr>
          <w:p w14:paraId="5DB2D0D4" w14:textId="0490E682" w:rsidR="001371EF" w:rsidRPr="001371EF" w:rsidRDefault="001371EF" w:rsidP="001371EF">
            <w:pPr>
              <w:rPr>
                <w:rFonts w:cstheme="minorHAnsi"/>
                <w:sz w:val="20"/>
                <w:szCs w:val="20"/>
              </w:rPr>
            </w:pPr>
            <w:r w:rsidRPr="001371EF">
              <w:rPr>
                <w:sz w:val="20"/>
                <w:szCs w:val="20"/>
              </w:rPr>
              <w:t xml:space="preserve">Faculty published a monograph on sustainable models, inclusion, and well-being. Also, Dr. Liu published a widely disseminated book that applies business methods to mitigate poverty in developing countries. </w:t>
            </w:r>
          </w:p>
        </w:tc>
        <w:tc>
          <w:tcPr>
            <w:tcW w:w="1930" w:type="dxa"/>
            <w:tcBorders>
              <w:top w:val="single" w:sz="4" w:space="0" w:color="auto"/>
              <w:left w:val="single" w:sz="8" w:space="0" w:color="000000"/>
              <w:bottom w:val="single" w:sz="8" w:space="0" w:color="000000"/>
              <w:right w:val="single" w:sz="8" w:space="0" w:color="000000"/>
            </w:tcBorders>
          </w:tcPr>
          <w:p w14:paraId="3002475C" w14:textId="45E7B848" w:rsidR="001371EF" w:rsidRPr="001371EF" w:rsidRDefault="001371EF" w:rsidP="001371EF">
            <w:pPr>
              <w:rPr>
                <w:rFonts w:cstheme="minorHAnsi"/>
                <w:sz w:val="20"/>
                <w:szCs w:val="20"/>
              </w:rPr>
            </w:pPr>
            <w:r w:rsidRPr="001371EF">
              <w:rPr>
                <w:sz w:val="20"/>
                <w:szCs w:val="20"/>
              </w:rPr>
              <w:t xml:space="preserve">During the annual 5-day KEY Challenge, professors, students, and alumni stayed in a local village and helped people brand, commercialize, and sell their coffee beans, increasing average income by over a quarter. </w:t>
            </w:r>
          </w:p>
        </w:tc>
      </w:tr>
    </w:tbl>
    <w:p w14:paraId="139225D3" w14:textId="75318A87" w:rsidR="003736C6" w:rsidRDefault="003736C6" w:rsidP="003736C6">
      <w:pPr>
        <w:spacing w:before="2" w:after="0" w:line="120" w:lineRule="exact"/>
        <w:rPr>
          <w:sz w:val="12"/>
          <w:szCs w:val="12"/>
        </w:rPr>
      </w:pPr>
    </w:p>
    <w:p w14:paraId="089C5CE0" w14:textId="71A3AC5A" w:rsidR="001371EF" w:rsidRDefault="001371EF" w:rsidP="003736C6">
      <w:pPr>
        <w:spacing w:before="2" w:after="0" w:line="120" w:lineRule="exact"/>
        <w:rPr>
          <w:sz w:val="12"/>
          <w:szCs w:val="12"/>
        </w:rPr>
      </w:pPr>
    </w:p>
    <w:p w14:paraId="2F17F4A1" w14:textId="18A17948" w:rsidR="001371EF" w:rsidRDefault="001371EF" w:rsidP="003736C6">
      <w:pPr>
        <w:spacing w:before="2" w:after="0" w:line="120" w:lineRule="exact"/>
        <w:rPr>
          <w:sz w:val="12"/>
          <w:szCs w:val="12"/>
        </w:rPr>
      </w:pPr>
    </w:p>
    <w:p w14:paraId="05B688D1" w14:textId="600EC4C8" w:rsidR="001371EF" w:rsidRDefault="001371EF" w:rsidP="003736C6">
      <w:pPr>
        <w:spacing w:before="2" w:after="0" w:line="120" w:lineRule="exact"/>
        <w:rPr>
          <w:sz w:val="12"/>
          <w:szCs w:val="12"/>
        </w:rPr>
      </w:pPr>
    </w:p>
    <w:p w14:paraId="31A0182E" w14:textId="65CC6949" w:rsidR="001371EF" w:rsidRDefault="001371EF" w:rsidP="003736C6">
      <w:pPr>
        <w:spacing w:before="2" w:after="0" w:line="120" w:lineRule="exact"/>
        <w:rPr>
          <w:sz w:val="12"/>
          <w:szCs w:val="12"/>
        </w:rPr>
      </w:pPr>
    </w:p>
    <w:p w14:paraId="1A3D4078" w14:textId="77777777" w:rsidR="001371EF" w:rsidRDefault="001371EF" w:rsidP="003736C6">
      <w:pPr>
        <w:spacing w:before="2" w:after="0" w:line="120" w:lineRule="exact"/>
        <w:rPr>
          <w:sz w:val="12"/>
          <w:szCs w:val="12"/>
        </w:rPr>
      </w:pPr>
    </w:p>
    <w:p w14:paraId="12271302" w14:textId="51868C71" w:rsidR="001371EF" w:rsidRPr="001371EF" w:rsidRDefault="001371EF" w:rsidP="001371EF">
      <w:pPr>
        <w:spacing w:after="0" w:line="240" w:lineRule="auto"/>
        <w:jc w:val="center"/>
        <w:rPr>
          <w:rFonts w:ascii="Arial" w:eastAsia="Arial" w:hAnsi="Arial" w:cs="Arial"/>
          <w:b/>
          <w:bCs/>
        </w:rPr>
      </w:pPr>
      <w:r w:rsidRPr="001371EF">
        <w:rPr>
          <w:rFonts w:ascii="Arial" w:eastAsia="Arial" w:hAnsi="Arial" w:cs="Arial"/>
          <w:b/>
          <w:bCs/>
        </w:rPr>
        <w:t xml:space="preserve">Example </w:t>
      </w:r>
      <w:r>
        <w:rPr>
          <w:rFonts w:ascii="Arial" w:eastAsia="Arial" w:hAnsi="Arial" w:cs="Arial"/>
          <w:b/>
          <w:bCs/>
        </w:rPr>
        <w:t>2</w:t>
      </w:r>
    </w:p>
    <w:p w14:paraId="0010F3B8" w14:textId="7A94016B" w:rsidR="001371EF" w:rsidRDefault="001371EF" w:rsidP="001371EF">
      <w:pPr>
        <w:spacing w:after="0" w:line="240" w:lineRule="auto"/>
        <w:jc w:val="center"/>
        <w:rPr>
          <w:rFonts w:ascii="Arial" w:eastAsia="Arial" w:hAnsi="Arial" w:cs="Arial"/>
          <w:b/>
          <w:bCs/>
        </w:rPr>
      </w:pPr>
      <w:r>
        <w:rPr>
          <w:rFonts w:ascii="Arial" w:eastAsia="Arial" w:hAnsi="Arial" w:cs="Arial"/>
          <w:b/>
          <w:bCs/>
        </w:rPr>
        <w:t xml:space="preserve">ABC </w:t>
      </w:r>
      <w:r w:rsidRPr="001371EF">
        <w:rPr>
          <w:rFonts w:ascii="Arial" w:eastAsia="Arial" w:hAnsi="Arial" w:cs="Arial"/>
          <w:b/>
          <w:bCs/>
        </w:rPr>
        <w:t>University Business</w:t>
      </w:r>
      <w:r>
        <w:rPr>
          <w:rFonts w:ascii="Arial" w:eastAsia="Arial" w:hAnsi="Arial" w:cs="Arial"/>
          <w:b/>
          <w:bCs/>
        </w:rPr>
        <w:t xml:space="preserve"> School</w:t>
      </w:r>
    </w:p>
    <w:p w14:paraId="3DB4A358" w14:textId="55EB2AA1" w:rsidR="001371EF" w:rsidRDefault="001371EF" w:rsidP="003736C6">
      <w:pPr>
        <w:spacing w:before="2" w:after="0" w:line="120" w:lineRule="exact"/>
        <w:rPr>
          <w:sz w:val="12"/>
          <w:szCs w:val="12"/>
        </w:rPr>
      </w:pPr>
    </w:p>
    <w:tbl>
      <w:tblPr>
        <w:tblW w:w="0" w:type="auto"/>
        <w:tblInd w:w="105" w:type="dxa"/>
        <w:tblLayout w:type="fixed"/>
        <w:tblCellMar>
          <w:left w:w="0" w:type="dxa"/>
          <w:right w:w="0" w:type="dxa"/>
        </w:tblCellMar>
        <w:tblLook w:val="01E0" w:firstRow="1" w:lastRow="1" w:firstColumn="1" w:lastColumn="1" w:noHBand="0" w:noVBand="0"/>
      </w:tblPr>
      <w:tblGrid>
        <w:gridCol w:w="2077"/>
        <w:gridCol w:w="1739"/>
        <w:gridCol w:w="34"/>
        <w:gridCol w:w="86"/>
        <w:gridCol w:w="1754"/>
        <w:gridCol w:w="2038"/>
        <w:gridCol w:w="1930"/>
      </w:tblGrid>
      <w:tr w:rsidR="001371EF" w:rsidRPr="003736C6" w14:paraId="3010C5FC" w14:textId="77777777" w:rsidTr="000A38DE">
        <w:trPr>
          <w:trHeight w:hRule="exact" w:val="1872"/>
        </w:trPr>
        <w:tc>
          <w:tcPr>
            <w:tcW w:w="2077" w:type="dxa"/>
            <w:tcBorders>
              <w:top w:val="single" w:sz="4" w:space="0" w:color="auto"/>
              <w:left w:val="single" w:sz="4" w:space="0" w:color="auto"/>
              <w:bottom w:val="single" w:sz="4" w:space="0" w:color="auto"/>
              <w:right w:val="single" w:sz="4" w:space="0" w:color="auto"/>
            </w:tcBorders>
            <w:shd w:val="clear" w:color="auto" w:fill="006E62" w:themeFill="accent1"/>
          </w:tcPr>
          <w:p w14:paraId="5E69D2C3" w14:textId="77777777" w:rsidR="001371EF" w:rsidRPr="003736C6" w:rsidRDefault="001371EF" w:rsidP="000A38DE">
            <w:pPr>
              <w:spacing w:after="0" w:line="252" w:lineRule="exact"/>
              <w:ind w:left="215" w:right="196"/>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United Nations</w:t>
            </w:r>
          </w:p>
          <w:p w14:paraId="1CC77BA0" w14:textId="77777777" w:rsidR="001371EF" w:rsidRPr="003736C6" w:rsidRDefault="001371EF" w:rsidP="000A38DE">
            <w:pPr>
              <w:spacing w:before="37" w:after="0"/>
              <w:ind w:left="318" w:right="298"/>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Sustainable Development Goal (SDG)</w:t>
            </w:r>
          </w:p>
        </w:tc>
        <w:tc>
          <w:tcPr>
            <w:tcW w:w="1773" w:type="dxa"/>
            <w:gridSpan w:val="2"/>
            <w:tcBorders>
              <w:top w:val="single" w:sz="4" w:space="0" w:color="auto"/>
              <w:left w:val="single" w:sz="4" w:space="0" w:color="auto"/>
              <w:bottom w:val="single" w:sz="4" w:space="0" w:color="auto"/>
              <w:right w:val="single" w:sz="4" w:space="0" w:color="auto"/>
            </w:tcBorders>
            <w:shd w:val="clear" w:color="auto" w:fill="006E62" w:themeFill="accent1"/>
          </w:tcPr>
          <w:p w14:paraId="2BDE7B79" w14:textId="77777777" w:rsidR="001371EF" w:rsidRPr="003736C6" w:rsidRDefault="001371EF" w:rsidP="000A38DE">
            <w:pPr>
              <w:spacing w:after="0" w:line="252" w:lineRule="exact"/>
              <w:ind w:left="429" w:right="362"/>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Societal</w:t>
            </w:r>
          </w:p>
          <w:p w14:paraId="11339C57" w14:textId="77777777" w:rsidR="001371EF" w:rsidRPr="003736C6" w:rsidRDefault="001371EF" w:rsidP="000A38DE">
            <w:pPr>
              <w:jc w:val="center"/>
              <w:rPr>
                <w:color w:val="FFFFFF" w:themeColor="background1"/>
                <w:sz w:val="20"/>
                <w:szCs w:val="20"/>
              </w:rPr>
            </w:pPr>
            <w:r w:rsidRPr="003736C6">
              <w:rPr>
                <w:rFonts w:ascii="Arial" w:eastAsia="Arial" w:hAnsi="Arial" w:cs="Arial"/>
                <w:b/>
                <w:bCs/>
                <w:color w:val="FFFFFF" w:themeColor="background1"/>
                <w:sz w:val="20"/>
                <w:szCs w:val="20"/>
              </w:rPr>
              <w:t>Impact Strategy (Standard 1)</w:t>
            </w:r>
          </w:p>
        </w:tc>
        <w:tc>
          <w:tcPr>
            <w:tcW w:w="1840" w:type="dxa"/>
            <w:gridSpan w:val="2"/>
            <w:tcBorders>
              <w:top w:val="single" w:sz="4" w:space="0" w:color="auto"/>
              <w:left w:val="single" w:sz="4" w:space="0" w:color="auto"/>
              <w:bottom w:val="single" w:sz="4" w:space="0" w:color="auto"/>
              <w:right w:val="single" w:sz="4" w:space="0" w:color="auto"/>
            </w:tcBorders>
            <w:shd w:val="clear" w:color="auto" w:fill="006E62" w:themeFill="accent1"/>
          </w:tcPr>
          <w:p w14:paraId="04015EBF" w14:textId="77777777" w:rsidR="001371EF" w:rsidRPr="003736C6" w:rsidRDefault="001371EF" w:rsidP="000A38DE">
            <w:pPr>
              <w:spacing w:after="0" w:line="252" w:lineRule="exact"/>
              <w:ind w:left="272" w:right="304"/>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439C6E26" w14:textId="77777777" w:rsidR="001371EF" w:rsidRPr="003736C6" w:rsidRDefault="001371EF" w:rsidP="000A38DE">
            <w:pPr>
              <w:spacing w:before="37" w:after="0"/>
              <w:ind w:left="185" w:right="218"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Curriculum (Standard 4)</w:t>
            </w:r>
          </w:p>
        </w:tc>
        <w:tc>
          <w:tcPr>
            <w:tcW w:w="2038" w:type="dxa"/>
            <w:tcBorders>
              <w:top w:val="single" w:sz="4" w:space="0" w:color="auto"/>
              <w:left w:val="single" w:sz="4" w:space="0" w:color="auto"/>
              <w:bottom w:val="single" w:sz="4" w:space="0" w:color="auto"/>
              <w:right w:val="single" w:sz="4" w:space="0" w:color="auto"/>
            </w:tcBorders>
            <w:shd w:val="clear" w:color="auto" w:fill="006E62" w:themeFill="accent1"/>
          </w:tcPr>
          <w:p w14:paraId="633A7A73" w14:textId="77777777" w:rsidR="001371EF" w:rsidRPr="003736C6" w:rsidRDefault="001371EF" w:rsidP="000A38DE">
            <w:pPr>
              <w:spacing w:after="0" w:line="252" w:lineRule="exact"/>
              <w:ind w:left="434" w:right="414"/>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55787507" w14:textId="77777777" w:rsidR="001371EF" w:rsidRPr="003736C6" w:rsidRDefault="001371EF" w:rsidP="000A38DE">
            <w:pPr>
              <w:spacing w:before="37" w:after="0"/>
              <w:ind w:left="347" w:right="329"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Scholarship (Standard 8)</w:t>
            </w:r>
          </w:p>
        </w:tc>
        <w:tc>
          <w:tcPr>
            <w:tcW w:w="1930" w:type="dxa"/>
            <w:tcBorders>
              <w:top w:val="single" w:sz="4" w:space="0" w:color="auto"/>
              <w:left w:val="single" w:sz="4" w:space="0" w:color="auto"/>
              <w:bottom w:val="single" w:sz="4" w:space="0" w:color="auto"/>
              <w:right w:val="single" w:sz="4" w:space="0" w:color="auto"/>
            </w:tcBorders>
            <w:shd w:val="clear" w:color="auto" w:fill="006E62" w:themeFill="accent1"/>
          </w:tcPr>
          <w:p w14:paraId="092E72ED" w14:textId="77777777" w:rsidR="001371EF" w:rsidRPr="003736C6" w:rsidRDefault="001371EF" w:rsidP="000A38DE">
            <w:pPr>
              <w:spacing w:after="0" w:line="252" w:lineRule="exact"/>
              <w:ind w:left="380" w:right="360"/>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55FB985B" w14:textId="77777777" w:rsidR="001371EF" w:rsidRPr="003736C6" w:rsidRDefault="001371EF" w:rsidP="000A38DE">
            <w:pPr>
              <w:spacing w:before="37" w:after="0"/>
              <w:ind w:left="141" w:right="123"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Internal and External Initiatives and/or Activities (Standard 9)</w:t>
            </w:r>
          </w:p>
        </w:tc>
      </w:tr>
      <w:tr w:rsidR="001371EF" w14:paraId="0038B751" w14:textId="77777777" w:rsidTr="001371EF">
        <w:trPr>
          <w:trHeight w:hRule="exact" w:val="3564"/>
        </w:trPr>
        <w:tc>
          <w:tcPr>
            <w:tcW w:w="2077" w:type="dxa"/>
            <w:tcBorders>
              <w:top w:val="single" w:sz="8" w:space="0" w:color="000000"/>
              <w:left w:val="single" w:sz="8" w:space="0" w:color="000000"/>
              <w:bottom w:val="single" w:sz="8" w:space="0" w:color="000000"/>
              <w:right w:val="single" w:sz="8" w:space="0" w:color="000000"/>
            </w:tcBorders>
          </w:tcPr>
          <w:p w14:paraId="1557C5CE" w14:textId="77777777" w:rsidR="001371EF" w:rsidRPr="001371EF" w:rsidRDefault="001371EF" w:rsidP="001371EF">
            <w:pPr>
              <w:spacing w:after="0" w:line="252" w:lineRule="exact"/>
              <w:ind w:left="97" w:right="-20"/>
              <w:rPr>
                <w:rFonts w:eastAsia="Arial" w:cstheme="minorHAnsi"/>
                <w:sz w:val="20"/>
                <w:szCs w:val="20"/>
              </w:rPr>
            </w:pPr>
            <w:r w:rsidRPr="001371EF">
              <w:rPr>
                <w:rFonts w:eastAsia="Arial" w:cstheme="minorHAnsi"/>
                <w:sz w:val="20"/>
                <w:szCs w:val="20"/>
              </w:rPr>
              <w:t>7 – Affordable and</w:t>
            </w:r>
          </w:p>
          <w:p w14:paraId="634C245C" w14:textId="77777777" w:rsidR="001371EF" w:rsidRPr="001371EF" w:rsidRDefault="001371EF" w:rsidP="001371EF">
            <w:pPr>
              <w:spacing w:before="37" w:after="0" w:line="240" w:lineRule="auto"/>
              <w:ind w:left="97" w:right="-20"/>
              <w:rPr>
                <w:rFonts w:eastAsia="Arial" w:cstheme="minorHAnsi"/>
                <w:sz w:val="20"/>
                <w:szCs w:val="20"/>
              </w:rPr>
            </w:pPr>
            <w:r w:rsidRPr="001371EF">
              <w:rPr>
                <w:rFonts w:eastAsia="Arial" w:cstheme="minorHAnsi"/>
                <w:sz w:val="20"/>
                <w:szCs w:val="20"/>
              </w:rPr>
              <w:t>Clean Energy</w:t>
            </w:r>
          </w:p>
        </w:tc>
        <w:tc>
          <w:tcPr>
            <w:tcW w:w="1739" w:type="dxa"/>
            <w:tcBorders>
              <w:top w:val="single" w:sz="8" w:space="0" w:color="000000"/>
              <w:left w:val="single" w:sz="8" w:space="0" w:color="000000"/>
              <w:bottom w:val="single" w:sz="8" w:space="0" w:color="000000"/>
              <w:right w:val="nil"/>
            </w:tcBorders>
          </w:tcPr>
          <w:p w14:paraId="3C7D2C47" w14:textId="77777777" w:rsidR="001371EF" w:rsidRPr="001371EF" w:rsidRDefault="001371EF" w:rsidP="001371EF">
            <w:pPr>
              <w:pStyle w:val="Default"/>
              <w:rPr>
                <w:sz w:val="20"/>
                <w:szCs w:val="20"/>
              </w:rPr>
            </w:pPr>
            <w:r w:rsidRPr="001371EF">
              <w:rPr>
                <w:sz w:val="20"/>
                <w:szCs w:val="20"/>
              </w:rPr>
              <w:t xml:space="preserve">The school has chosen affordable and clean energy for its area of societal impact. See strategic plan for details. </w:t>
            </w:r>
          </w:p>
          <w:p w14:paraId="7B1BC3EC" w14:textId="77777777" w:rsidR="001371EF" w:rsidRPr="001371EF" w:rsidRDefault="001371EF" w:rsidP="001371EF">
            <w:pPr>
              <w:rPr>
                <w:rFonts w:cstheme="minorHAnsi"/>
                <w:sz w:val="20"/>
                <w:szCs w:val="20"/>
              </w:rPr>
            </w:pPr>
          </w:p>
        </w:tc>
        <w:tc>
          <w:tcPr>
            <w:tcW w:w="120" w:type="dxa"/>
            <w:gridSpan w:val="2"/>
            <w:tcBorders>
              <w:top w:val="single" w:sz="8" w:space="0" w:color="000000"/>
              <w:left w:val="nil"/>
              <w:bottom w:val="single" w:sz="8" w:space="0" w:color="000000"/>
              <w:right w:val="nil"/>
            </w:tcBorders>
            <w:shd w:val="clear" w:color="auto" w:fill="000000"/>
          </w:tcPr>
          <w:p w14:paraId="73382127" w14:textId="77777777" w:rsidR="001371EF" w:rsidRPr="001371EF" w:rsidRDefault="001371EF" w:rsidP="001371EF">
            <w:pPr>
              <w:rPr>
                <w:rFonts w:cstheme="minorHAnsi"/>
                <w:sz w:val="20"/>
                <w:szCs w:val="20"/>
              </w:rPr>
            </w:pPr>
          </w:p>
        </w:tc>
        <w:tc>
          <w:tcPr>
            <w:tcW w:w="1754" w:type="dxa"/>
            <w:tcBorders>
              <w:top w:val="single" w:sz="8" w:space="0" w:color="000000"/>
              <w:left w:val="nil"/>
              <w:bottom w:val="single" w:sz="8" w:space="0" w:color="000000"/>
              <w:right w:val="single" w:sz="8" w:space="0" w:color="000000"/>
            </w:tcBorders>
          </w:tcPr>
          <w:p w14:paraId="4B5CCF13" w14:textId="28B7D1DB" w:rsidR="001371EF" w:rsidRPr="001371EF" w:rsidRDefault="001371EF" w:rsidP="001371EF">
            <w:pPr>
              <w:rPr>
                <w:rFonts w:cstheme="minorHAnsi"/>
                <w:sz w:val="20"/>
                <w:szCs w:val="20"/>
              </w:rPr>
            </w:pPr>
            <w:r w:rsidRPr="001371EF">
              <w:rPr>
                <w:sz w:val="20"/>
                <w:szCs w:val="20"/>
              </w:rPr>
              <w:t xml:space="preserve">Business Track in the MBA program. To date, 200 students have completed this track. Students may also complete the track as a standalone certificate. To date, 800 students have completed the certificate. </w:t>
            </w:r>
          </w:p>
        </w:tc>
        <w:tc>
          <w:tcPr>
            <w:tcW w:w="2038" w:type="dxa"/>
            <w:tcBorders>
              <w:top w:val="single" w:sz="8" w:space="0" w:color="000000"/>
              <w:left w:val="single" w:sz="8" w:space="0" w:color="000000"/>
              <w:bottom w:val="single" w:sz="8" w:space="0" w:color="000000"/>
              <w:right w:val="single" w:sz="8" w:space="0" w:color="000000"/>
            </w:tcBorders>
          </w:tcPr>
          <w:p w14:paraId="4280FA1F" w14:textId="2EFA81EC" w:rsidR="001371EF" w:rsidRPr="001371EF" w:rsidRDefault="001371EF" w:rsidP="001371EF">
            <w:pPr>
              <w:rPr>
                <w:rFonts w:cstheme="minorHAnsi"/>
                <w:sz w:val="20"/>
                <w:szCs w:val="20"/>
              </w:rPr>
            </w:pPr>
            <w:r w:rsidRPr="001371EF">
              <w:rPr>
                <w:sz w:val="20"/>
                <w:szCs w:val="20"/>
              </w:rPr>
              <w:t xml:space="preserve">17 peer-reviewed publications with an energy focus were published in three journals with impact factors greater than three. Awarded a competitive grant in partnership with the engineering school to study fossil fuel supply chains. </w:t>
            </w:r>
          </w:p>
        </w:tc>
        <w:tc>
          <w:tcPr>
            <w:tcW w:w="1930" w:type="dxa"/>
            <w:tcBorders>
              <w:top w:val="single" w:sz="8" w:space="0" w:color="000000"/>
              <w:left w:val="single" w:sz="8" w:space="0" w:color="000000"/>
              <w:bottom w:val="single" w:sz="8" w:space="0" w:color="000000"/>
              <w:right w:val="single" w:sz="8" w:space="0" w:color="000000"/>
            </w:tcBorders>
          </w:tcPr>
          <w:p w14:paraId="69085884" w14:textId="5B56F986" w:rsidR="001371EF" w:rsidRPr="001371EF" w:rsidRDefault="001371EF" w:rsidP="001371EF">
            <w:pPr>
              <w:rPr>
                <w:rFonts w:cstheme="minorHAnsi"/>
                <w:sz w:val="20"/>
                <w:szCs w:val="20"/>
              </w:rPr>
            </w:pPr>
            <w:r w:rsidRPr="001371EF">
              <w:rPr>
                <w:sz w:val="20"/>
                <w:szCs w:val="20"/>
              </w:rPr>
              <w:t xml:space="preserve">A sustainability plan has halved campus greenhouse gas emissions since 2015. Initiatives include seven green roofs to absorb rainfall. Also, new technology monitors heating and cooling systems, which has reduced energy use by 25 percent. </w:t>
            </w:r>
          </w:p>
        </w:tc>
      </w:tr>
    </w:tbl>
    <w:p w14:paraId="39CF3D27" w14:textId="0D4901EE" w:rsidR="001371EF" w:rsidRDefault="001371EF" w:rsidP="003736C6">
      <w:pPr>
        <w:spacing w:before="2" w:after="0" w:line="120" w:lineRule="exact"/>
        <w:rPr>
          <w:sz w:val="12"/>
          <w:szCs w:val="12"/>
        </w:rPr>
      </w:pPr>
    </w:p>
    <w:p w14:paraId="44DBCEDE" w14:textId="199EB83A" w:rsidR="001371EF" w:rsidRDefault="001371EF" w:rsidP="003736C6">
      <w:pPr>
        <w:spacing w:before="2" w:after="0" w:line="120" w:lineRule="exact"/>
        <w:rPr>
          <w:sz w:val="12"/>
          <w:szCs w:val="12"/>
        </w:rPr>
      </w:pPr>
    </w:p>
    <w:p w14:paraId="0CDA1D62" w14:textId="3A0658C5" w:rsidR="001371EF" w:rsidRPr="001371EF" w:rsidRDefault="001371EF" w:rsidP="001371EF">
      <w:pPr>
        <w:spacing w:after="0" w:line="240" w:lineRule="auto"/>
        <w:jc w:val="center"/>
        <w:rPr>
          <w:rFonts w:ascii="Arial" w:eastAsia="Arial" w:hAnsi="Arial" w:cs="Arial"/>
          <w:b/>
          <w:bCs/>
        </w:rPr>
      </w:pPr>
      <w:r w:rsidRPr="001371EF">
        <w:rPr>
          <w:rFonts w:ascii="Arial" w:eastAsia="Arial" w:hAnsi="Arial" w:cs="Arial"/>
          <w:b/>
          <w:bCs/>
        </w:rPr>
        <w:t xml:space="preserve">Example </w:t>
      </w:r>
      <w:r>
        <w:rPr>
          <w:rFonts w:ascii="Arial" w:eastAsia="Arial" w:hAnsi="Arial" w:cs="Arial"/>
          <w:b/>
          <w:bCs/>
        </w:rPr>
        <w:t>3</w:t>
      </w:r>
    </w:p>
    <w:p w14:paraId="26A5F42C" w14:textId="3FA4B87C" w:rsidR="001371EF" w:rsidRDefault="001371EF" w:rsidP="001371EF">
      <w:pPr>
        <w:spacing w:after="0" w:line="240" w:lineRule="auto"/>
        <w:jc w:val="center"/>
        <w:rPr>
          <w:rFonts w:ascii="Arial" w:eastAsia="Arial" w:hAnsi="Arial" w:cs="Arial"/>
          <w:b/>
          <w:bCs/>
        </w:rPr>
      </w:pPr>
      <w:r>
        <w:rPr>
          <w:rFonts w:ascii="Arial" w:eastAsia="Arial" w:hAnsi="Arial" w:cs="Arial"/>
          <w:b/>
          <w:bCs/>
        </w:rPr>
        <w:t>Dryer</w:t>
      </w:r>
      <w:r w:rsidRPr="001371EF">
        <w:rPr>
          <w:rFonts w:ascii="Arial" w:eastAsia="Arial" w:hAnsi="Arial" w:cs="Arial"/>
          <w:b/>
          <w:bCs/>
        </w:rPr>
        <w:t xml:space="preserve"> Business</w:t>
      </w:r>
      <w:r>
        <w:rPr>
          <w:rFonts w:ascii="Arial" w:eastAsia="Arial" w:hAnsi="Arial" w:cs="Arial"/>
          <w:b/>
          <w:bCs/>
        </w:rPr>
        <w:t xml:space="preserve"> School</w:t>
      </w:r>
    </w:p>
    <w:p w14:paraId="3A4D2793" w14:textId="3CF3F6AA" w:rsidR="001371EF" w:rsidRDefault="001371EF" w:rsidP="003736C6">
      <w:pPr>
        <w:spacing w:before="2" w:after="0" w:line="120" w:lineRule="exact"/>
        <w:rPr>
          <w:sz w:val="12"/>
          <w:szCs w:val="12"/>
        </w:rPr>
      </w:pPr>
    </w:p>
    <w:p w14:paraId="764A9D70" w14:textId="2786CF0B" w:rsidR="001371EF" w:rsidRDefault="001371EF" w:rsidP="003736C6">
      <w:pPr>
        <w:spacing w:before="2" w:after="0" w:line="120" w:lineRule="exact"/>
        <w:rPr>
          <w:sz w:val="12"/>
          <w:szCs w:val="12"/>
        </w:rPr>
      </w:pPr>
    </w:p>
    <w:tbl>
      <w:tblPr>
        <w:tblW w:w="0" w:type="auto"/>
        <w:tblInd w:w="105" w:type="dxa"/>
        <w:tblLayout w:type="fixed"/>
        <w:tblCellMar>
          <w:left w:w="0" w:type="dxa"/>
          <w:right w:w="0" w:type="dxa"/>
        </w:tblCellMar>
        <w:tblLook w:val="01E0" w:firstRow="1" w:lastRow="1" w:firstColumn="1" w:lastColumn="1" w:noHBand="0" w:noVBand="0"/>
      </w:tblPr>
      <w:tblGrid>
        <w:gridCol w:w="2077"/>
        <w:gridCol w:w="1739"/>
        <w:gridCol w:w="34"/>
        <w:gridCol w:w="86"/>
        <w:gridCol w:w="1754"/>
        <w:gridCol w:w="2038"/>
        <w:gridCol w:w="1930"/>
      </w:tblGrid>
      <w:tr w:rsidR="001371EF" w:rsidRPr="003736C6" w14:paraId="76C3EDE5" w14:textId="77777777" w:rsidTr="000A38DE">
        <w:trPr>
          <w:trHeight w:hRule="exact" w:val="1872"/>
        </w:trPr>
        <w:tc>
          <w:tcPr>
            <w:tcW w:w="2077" w:type="dxa"/>
            <w:tcBorders>
              <w:top w:val="single" w:sz="4" w:space="0" w:color="auto"/>
              <w:left w:val="single" w:sz="4" w:space="0" w:color="auto"/>
              <w:bottom w:val="single" w:sz="4" w:space="0" w:color="auto"/>
              <w:right w:val="single" w:sz="4" w:space="0" w:color="auto"/>
            </w:tcBorders>
            <w:shd w:val="clear" w:color="auto" w:fill="006E62" w:themeFill="accent1"/>
          </w:tcPr>
          <w:p w14:paraId="164FD4EB" w14:textId="77777777" w:rsidR="001371EF" w:rsidRPr="003736C6" w:rsidRDefault="001371EF" w:rsidP="000A38DE">
            <w:pPr>
              <w:spacing w:after="0" w:line="252" w:lineRule="exact"/>
              <w:ind w:left="215" w:right="196"/>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United Nations</w:t>
            </w:r>
          </w:p>
          <w:p w14:paraId="0FA7F73E" w14:textId="77777777" w:rsidR="001371EF" w:rsidRPr="003736C6" w:rsidRDefault="001371EF" w:rsidP="000A38DE">
            <w:pPr>
              <w:spacing w:before="37" w:after="0"/>
              <w:ind w:left="318" w:right="298"/>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Sustainable Development Goal (SDG)</w:t>
            </w:r>
          </w:p>
        </w:tc>
        <w:tc>
          <w:tcPr>
            <w:tcW w:w="1773" w:type="dxa"/>
            <w:gridSpan w:val="2"/>
            <w:tcBorders>
              <w:top w:val="single" w:sz="4" w:space="0" w:color="auto"/>
              <w:left w:val="single" w:sz="4" w:space="0" w:color="auto"/>
              <w:bottom w:val="single" w:sz="4" w:space="0" w:color="auto"/>
              <w:right w:val="single" w:sz="4" w:space="0" w:color="auto"/>
            </w:tcBorders>
            <w:shd w:val="clear" w:color="auto" w:fill="006E62" w:themeFill="accent1"/>
          </w:tcPr>
          <w:p w14:paraId="39C4BE05" w14:textId="77777777" w:rsidR="001371EF" w:rsidRPr="003736C6" w:rsidRDefault="001371EF" w:rsidP="000A38DE">
            <w:pPr>
              <w:spacing w:after="0" w:line="252" w:lineRule="exact"/>
              <w:ind w:left="429" w:right="362"/>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Societal</w:t>
            </w:r>
          </w:p>
          <w:p w14:paraId="4BBA9E02" w14:textId="77777777" w:rsidR="001371EF" w:rsidRPr="003736C6" w:rsidRDefault="001371EF" w:rsidP="000A38DE">
            <w:pPr>
              <w:jc w:val="center"/>
              <w:rPr>
                <w:color w:val="FFFFFF" w:themeColor="background1"/>
                <w:sz w:val="20"/>
                <w:szCs w:val="20"/>
              </w:rPr>
            </w:pPr>
            <w:r w:rsidRPr="003736C6">
              <w:rPr>
                <w:rFonts w:ascii="Arial" w:eastAsia="Arial" w:hAnsi="Arial" w:cs="Arial"/>
                <w:b/>
                <w:bCs/>
                <w:color w:val="FFFFFF" w:themeColor="background1"/>
                <w:sz w:val="20"/>
                <w:szCs w:val="20"/>
              </w:rPr>
              <w:t>Impact Strategy (Standard 1)</w:t>
            </w:r>
          </w:p>
        </w:tc>
        <w:tc>
          <w:tcPr>
            <w:tcW w:w="1840" w:type="dxa"/>
            <w:gridSpan w:val="2"/>
            <w:tcBorders>
              <w:top w:val="single" w:sz="4" w:space="0" w:color="auto"/>
              <w:left w:val="single" w:sz="4" w:space="0" w:color="auto"/>
              <w:bottom w:val="single" w:sz="4" w:space="0" w:color="auto"/>
              <w:right w:val="single" w:sz="4" w:space="0" w:color="auto"/>
            </w:tcBorders>
            <w:shd w:val="clear" w:color="auto" w:fill="006E62" w:themeFill="accent1"/>
          </w:tcPr>
          <w:p w14:paraId="514C848C" w14:textId="77777777" w:rsidR="001371EF" w:rsidRPr="003736C6" w:rsidRDefault="001371EF" w:rsidP="000A38DE">
            <w:pPr>
              <w:spacing w:after="0" w:line="252" w:lineRule="exact"/>
              <w:ind w:left="272" w:right="304"/>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7F85D62F" w14:textId="77777777" w:rsidR="001371EF" w:rsidRPr="003736C6" w:rsidRDefault="001371EF" w:rsidP="000A38DE">
            <w:pPr>
              <w:spacing w:before="37" w:after="0"/>
              <w:ind w:left="185" w:right="218"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Curriculum (Standard 4)</w:t>
            </w:r>
          </w:p>
        </w:tc>
        <w:tc>
          <w:tcPr>
            <w:tcW w:w="2038" w:type="dxa"/>
            <w:tcBorders>
              <w:top w:val="single" w:sz="4" w:space="0" w:color="auto"/>
              <w:left w:val="single" w:sz="4" w:space="0" w:color="auto"/>
              <w:bottom w:val="single" w:sz="4" w:space="0" w:color="auto"/>
              <w:right w:val="single" w:sz="4" w:space="0" w:color="auto"/>
            </w:tcBorders>
            <w:shd w:val="clear" w:color="auto" w:fill="006E62" w:themeFill="accent1"/>
          </w:tcPr>
          <w:p w14:paraId="4C76B56C" w14:textId="77777777" w:rsidR="001371EF" w:rsidRPr="003736C6" w:rsidRDefault="001371EF" w:rsidP="000A38DE">
            <w:pPr>
              <w:spacing w:after="0" w:line="252" w:lineRule="exact"/>
              <w:ind w:left="434" w:right="414"/>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011ABCE4" w14:textId="77777777" w:rsidR="001371EF" w:rsidRPr="003736C6" w:rsidRDefault="001371EF" w:rsidP="000A38DE">
            <w:pPr>
              <w:spacing w:before="37" w:after="0"/>
              <w:ind w:left="347" w:right="329"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Scholarship (Standard 8)</w:t>
            </w:r>
          </w:p>
        </w:tc>
        <w:tc>
          <w:tcPr>
            <w:tcW w:w="1930" w:type="dxa"/>
            <w:tcBorders>
              <w:top w:val="single" w:sz="4" w:space="0" w:color="auto"/>
              <w:left w:val="single" w:sz="4" w:space="0" w:color="auto"/>
              <w:bottom w:val="single" w:sz="4" w:space="0" w:color="auto"/>
              <w:right w:val="single" w:sz="4" w:space="0" w:color="auto"/>
            </w:tcBorders>
            <w:shd w:val="clear" w:color="auto" w:fill="006E62" w:themeFill="accent1"/>
          </w:tcPr>
          <w:p w14:paraId="79CD2355" w14:textId="77777777" w:rsidR="001371EF" w:rsidRPr="003736C6" w:rsidRDefault="001371EF" w:rsidP="000A38DE">
            <w:pPr>
              <w:spacing w:after="0" w:line="252" w:lineRule="exact"/>
              <w:ind w:left="380" w:right="360"/>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Outcomes</w:t>
            </w:r>
          </w:p>
          <w:p w14:paraId="4DD17009" w14:textId="77777777" w:rsidR="001371EF" w:rsidRPr="003736C6" w:rsidRDefault="001371EF" w:rsidP="000A38DE">
            <w:pPr>
              <w:spacing w:before="37" w:after="0"/>
              <w:ind w:left="141" w:right="123" w:firstLine="1"/>
              <w:jc w:val="center"/>
              <w:rPr>
                <w:rFonts w:ascii="Arial" w:eastAsia="Arial" w:hAnsi="Arial" w:cs="Arial"/>
                <w:color w:val="FFFFFF" w:themeColor="background1"/>
                <w:sz w:val="20"/>
                <w:szCs w:val="20"/>
              </w:rPr>
            </w:pPr>
            <w:r w:rsidRPr="003736C6">
              <w:rPr>
                <w:rFonts w:ascii="Arial" w:eastAsia="Arial" w:hAnsi="Arial" w:cs="Arial"/>
                <w:b/>
                <w:bCs/>
                <w:color w:val="FFFFFF" w:themeColor="background1"/>
                <w:sz w:val="20"/>
                <w:szCs w:val="20"/>
              </w:rPr>
              <w:t>Related to Internal and External Initiatives and/or Activities (Standard 9)</w:t>
            </w:r>
          </w:p>
        </w:tc>
      </w:tr>
      <w:tr w:rsidR="001371EF" w14:paraId="5EB53D71" w14:textId="77777777" w:rsidTr="001371EF">
        <w:trPr>
          <w:trHeight w:hRule="exact" w:val="4806"/>
        </w:trPr>
        <w:tc>
          <w:tcPr>
            <w:tcW w:w="2077" w:type="dxa"/>
            <w:tcBorders>
              <w:top w:val="single" w:sz="8" w:space="0" w:color="000000"/>
              <w:left w:val="single" w:sz="8" w:space="0" w:color="000000"/>
              <w:bottom w:val="single" w:sz="8" w:space="0" w:color="000000"/>
              <w:right w:val="single" w:sz="8" w:space="0" w:color="000000"/>
            </w:tcBorders>
          </w:tcPr>
          <w:p w14:paraId="558A6838" w14:textId="77777777" w:rsidR="001371EF" w:rsidRPr="003736C6" w:rsidRDefault="001371EF" w:rsidP="001371EF">
            <w:pPr>
              <w:spacing w:after="0" w:line="251" w:lineRule="exact"/>
              <w:ind w:left="97" w:right="-20"/>
              <w:rPr>
                <w:rFonts w:eastAsia="Arial" w:cstheme="minorHAnsi"/>
                <w:sz w:val="20"/>
                <w:szCs w:val="20"/>
              </w:rPr>
            </w:pPr>
            <w:r w:rsidRPr="003736C6">
              <w:rPr>
                <w:rFonts w:eastAsia="Arial" w:cstheme="minorHAnsi"/>
                <w:sz w:val="20"/>
                <w:szCs w:val="20"/>
              </w:rPr>
              <w:t>5 – Gender</w:t>
            </w:r>
            <w:r>
              <w:rPr>
                <w:rFonts w:eastAsia="Arial" w:cstheme="minorHAnsi"/>
                <w:sz w:val="20"/>
                <w:szCs w:val="20"/>
              </w:rPr>
              <w:t xml:space="preserve"> </w:t>
            </w:r>
            <w:r w:rsidRPr="003736C6">
              <w:rPr>
                <w:rFonts w:eastAsia="Arial" w:cstheme="minorHAnsi"/>
                <w:sz w:val="20"/>
                <w:szCs w:val="20"/>
              </w:rPr>
              <w:t>Equality</w:t>
            </w:r>
          </w:p>
        </w:tc>
        <w:tc>
          <w:tcPr>
            <w:tcW w:w="1739" w:type="dxa"/>
            <w:tcBorders>
              <w:top w:val="single" w:sz="8" w:space="0" w:color="000000"/>
              <w:left w:val="single" w:sz="8" w:space="0" w:color="000000"/>
              <w:bottom w:val="single" w:sz="8" w:space="0" w:color="000000"/>
              <w:right w:val="nil"/>
            </w:tcBorders>
          </w:tcPr>
          <w:p w14:paraId="39CD1A44" w14:textId="7CA087F0" w:rsidR="001371EF" w:rsidRPr="001371EF" w:rsidRDefault="001371EF" w:rsidP="001371EF">
            <w:pPr>
              <w:rPr>
                <w:rFonts w:cstheme="minorHAnsi"/>
                <w:sz w:val="20"/>
                <w:szCs w:val="20"/>
              </w:rPr>
            </w:pPr>
            <w:r w:rsidRPr="001371EF">
              <w:rPr>
                <w:rFonts w:cstheme="minorHAnsi"/>
                <w:sz w:val="20"/>
                <w:szCs w:val="20"/>
              </w:rPr>
              <w:t>The school has chosen gender equality for its area of societal impact. See strategic plan for details.</w:t>
            </w:r>
          </w:p>
        </w:tc>
        <w:tc>
          <w:tcPr>
            <w:tcW w:w="120" w:type="dxa"/>
            <w:gridSpan w:val="2"/>
            <w:tcBorders>
              <w:top w:val="single" w:sz="8" w:space="0" w:color="000000"/>
              <w:left w:val="nil"/>
              <w:bottom w:val="single" w:sz="8" w:space="0" w:color="000000"/>
              <w:right w:val="nil"/>
            </w:tcBorders>
            <w:shd w:val="clear" w:color="auto" w:fill="000000"/>
          </w:tcPr>
          <w:p w14:paraId="0C756817" w14:textId="77777777" w:rsidR="001371EF" w:rsidRPr="001371EF" w:rsidRDefault="001371EF" w:rsidP="001371EF">
            <w:pPr>
              <w:rPr>
                <w:rFonts w:cstheme="minorHAnsi"/>
                <w:sz w:val="20"/>
                <w:szCs w:val="20"/>
              </w:rPr>
            </w:pPr>
          </w:p>
        </w:tc>
        <w:tc>
          <w:tcPr>
            <w:tcW w:w="1754" w:type="dxa"/>
            <w:tcBorders>
              <w:top w:val="single" w:sz="8" w:space="0" w:color="000000"/>
              <w:left w:val="nil"/>
              <w:bottom w:val="single" w:sz="8" w:space="0" w:color="000000"/>
              <w:right w:val="single" w:sz="8" w:space="0" w:color="000000"/>
            </w:tcBorders>
          </w:tcPr>
          <w:p w14:paraId="0F26F57A" w14:textId="57F6DB95" w:rsidR="001371EF" w:rsidRPr="001371EF" w:rsidRDefault="001371EF" w:rsidP="001371EF">
            <w:pPr>
              <w:rPr>
                <w:rFonts w:cstheme="minorHAnsi"/>
                <w:sz w:val="20"/>
                <w:szCs w:val="20"/>
              </w:rPr>
            </w:pPr>
            <w:r w:rsidRPr="001371EF">
              <w:rPr>
                <w:sz w:val="20"/>
                <w:szCs w:val="20"/>
              </w:rPr>
              <w:t xml:space="preserve">Faculty embed within the curriculum cases that employ inclusive pedagogy. As a result, ratings on inclusivity and belonging have increased by 10 percent over the past three years in the annual student survey. </w:t>
            </w:r>
          </w:p>
        </w:tc>
        <w:tc>
          <w:tcPr>
            <w:tcW w:w="2038" w:type="dxa"/>
            <w:tcBorders>
              <w:top w:val="single" w:sz="8" w:space="0" w:color="000000"/>
              <w:left w:val="single" w:sz="8" w:space="0" w:color="000000"/>
              <w:bottom w:val="single" w:sz="8" w:space="0" w:color="000000"/>
              <w:right w:val="single" w:sz="8" w:space="0" w:color="000000"/>
            </w:tcBorders>
          </w:tcPr>
          <w:p w14:paraId="64A408DC" w14:textId="3452D64B" w:rsidR="001371EF" w:rsidRPr="001371EF" w:rsidRDefault="001371EF" w:rsidP="001371EF">
            <w:pPr>
              <w:rPr>
                <w:rFonts w:cstheme="minorHAnsi"/>
                <w:sz w:val="20"/>
                <w:szCs w:val="20"/>
              </w:rPr>
            </w:pPr>
            <w:r w:rsidRPr="001371EF">
              <w:rPr>
                <w:sz w:val="20"/>
                <w:szCs w:val="20"/>
              </w:rPr>
              <w:t xml:space="preserve">Three faculty members have published a combined 16 articles on gender inequality in business. Their work has been cited in the Financial Times, the Chronicle of Higher Education, and Newsweek. </w:t>
            </w:r>
          </w:p>
        </w:tc>
        <w:tc>
          <w:tcPr>
            <w:tcW w:w="1930" w:type="dxa"/>
            <w:tcBorders>
              <w:top w:val="single" w:sz="8" w:space="0" w:color="000000"/>
              <w:left w:val="single" w:sz="8" w:space="0" w:color="000000"/>
              <w:bottom w:val="single" w:sz="8" w:space="0" w:color="000000"/>
              <w:right w:val="single" w:sz="8" w:space="0" w:color="000000"/>
            </w:tcBorders>
          </w:tcPr>
          <w:p w14:paraId="03F4BAF7" w14:textId="68F3DC0D" w:rsidR="001371EF" w:rsidRPr="001371EF" w:rsidRDefault="001371EF" w:rsidP="001371EF">
            <w:pPr>
              <w:rPr>
                <w:rFonts w:cstheme="minorHAnsi"/>
                <w:sz w:val="20"/>
                <w:szCs w:val="20"/>
              </w:rPr>
            </w:pPr>
            <w:r w:rsidRPr="001371EF">
              <w:rPr>
                <w:sz w:val="20"/>
                <w:szCs w:val="20"/>
              </w:rPr>
              <w:t xml:space="preserve">Offered 60 women MBA scholarships. Partners with businesses to identify and support women in middle management by providing financial support, and a mentor to help participants address work-life balance and help with career planning. These initiatives have led to a 15 percent increase in female MBA students. </w:t>
            </w:r>
          </w:p>
        </w:tc>
      </w:tr>
    </w:tbl>
    <w:p w14:paraId="79C1AE7C" w14:textId="77777777" w:rsidR="001371EF" w:rsidRDefault="001371EF" w:rsidP="003736C6">
      <w:pPr>
        <w:spacing w:before="2" w:after="0" w:line="120" w:lineRule="exact"/>
        <w:rPr>
          <w:sz w:val="12"/>
          <w:szCs w:val="12"/>
        </w:rPr>
      </w:pPr>
    </w:p>
    <w:sectPr w:rsidR="001371EF">
      <w:pgSz w:w="12240" w:h="15840"/>
      <w:pgMar w:top="1100" w:right="1160" w:bottom="1160" w:left="1180" w:header="0" w:footer="9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C6"/>
    <w:rsid w:val="001371EF"/>
    <w:rsid w:val="00234CEE"/>
    <w:rsid w:val="003736C6"/>
    <w:rsid w:val="00BA7D9E"/>
    <w:rsid w:val="00BB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F00C72"/>
  <w15:chartTrackingRefBased/>
  <w15:docId w15:val="{030DF9ED-F6AA-4E19-8FD3-8D8B1C09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C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1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AACSB">
  <a:themeElements>
    <a:clrScheme name="Custom 2">
      <a:dk1>
        <a:srgbClr val="55565A"/>
      </a:dk1>
      <a:lt1>
        <a:sysClr val="window" lastClr="FFFFFF"/>
      </a:lt1>
      <a:dk2>
        <a:srgbClr val="77777A"/>
      </a:dk2>
      <a:lt2>
        <a:srgbClr val="E7E6E6"/>
      </a:lt2>
      <a:accent1>
        <a:srgbClr val="006E62"/>
      </a:accent1>
      <a:accent2>
        <a:srgbClr val="A5D400"/>
      </a:accent2>
      <a:accent3>
        <a:srgbClr val="E75300"/>
      </a:accent3>
      <a:accent4>
        <a:srgbClr val="008FBE"/>
      </a:accent4>
      <a:accent5>
        <a:srgbClr val="3FBFAD"/>
      </a:accent5>
      <a:accent6>
        <a:srgbClr val="72B3B6"/>
      </a:accent6>
      <a:hlink>
        <a:srgbClr val="006E62"/>
      </a:hlink>
      <a:folHlink>
        <a:srgbClr val="B3B3B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224F3-164B-4A86-BD74-657286D42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79F98-9C9F-4B03-819C-01F71506D0B7}">
  <ds:schemaRefs>
    <ds:schemaRef ds:uri="http://schemas.microsoft.com/sharepoint/v3/contenttype/forms"/>
  </ds:schemaRefs>
</ds:datastoreItem>
</file>

<file path=customXml/itemProps3.xml><?xml version="1.0" encoding="utf-8"?>
<ds:datastoreItem xmlns:ds="http://schemas.openxmlformats.org/officeDocument/2006/customXml" ds:itemID="{52626C2E-3295-44AC-B1C8-7E31D2396337}">
  <ds:schemaRefs>
    <ds:schemaRef ds:uri="http://schemas.microsoft.com/office/2006/documentManagement/types"/>
    <ds:schemaRef ds:uri="8ff65dbe-0994-4b7f-94fc-e9437a7ab3f7"/>
    <ds:schemaRef ds:uri="05da91ce-ff34-4b89-88be-59cf5167bf7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Webster</dc:creator>
  <cp:keywords/>
  <dc:description/>
  <cp:lastModifiedBy>Madeline Webster</cp:lastModifiedBy>
  <cp:revision>2</cp:revision>
  <dcterms:created xsi:type="dcterms:W3CDTF">2021-07-01T14:57:00Z</dcterms:created>
  <dcterms:modified xsi:type="dcterms:W3CDTF">2021-07-01T14:57:00Z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ies>
</file>